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72A5">
      <w:pPr>
        <w:pStyle w:val="a00"/>
      </w:pPr>
      <w:r>
        <w:t> </w:t>
      </w:r>
      <w:bookmarkStart w:id="0" w:name="a5"/>
      <w:bookmarkEnd w:id="0"/>
      <w:r>
        <w:t xml:space="preserve"> </w:t>
      </w:r>
    </w:p>
    <w:p w:rsidR="00000000" w:rsidRDefault="008472A5">
      <w:pPr>
        <w:shd w:val="clear" w:color="auto" w:fill="FFFFFF"/>
        <w:jc w:val="right"/>
        <w:divId w:val="110906018"/>
        <w:rPr>
          <w:rFonts w:eastAsia="Times New Roman"/>
        </w:rPr>
      </w:pPr>
    </w:p>
    <w:p w:rsidR="00000000" w:rsidRDefault="008472A5">
      <w:pPr>
        <w:pStyle w:val="1"/>
        <w:rPr>
          <w:rFonts w:eastAsia="Times New Roman"/>
        </w:rPr>
      </w:pPr>
      <w:r>
        <w:rPr>
          <w:rFonts w:eastAsia="Times New Roman"/>
        </w:rPr>
        <w:t>Новый порядок сбора контактов «теплых» клиентов на сайте: защита персональных данных в Евросоюзе и Республике Беларусь</w:t>
      </w:r>
    </w:p>
    <w:p w:rsidR="00000000" w:rsidRDefault="008472A5">
      <w:pPr>
        <w:pStyle w:val="justify"/>
      </w:pPr>
      <w:r>
        <w:t>В материале проанализированы принципы защиты персональных данных пользователей, порядок обеспечения сохранности данных, а также зак</w:t>
      </w:r>
      <w:r>
        <w:t>онные основания для обработки таких данных, приведено сравнение норм белорусского и европейского законодательства.</w:t>
      </w:r>
    </w:p>
    <w:p w:rsidR="00000000" w:rsidRDefault="008472A5">
      <w:pPr>
        <w:pStyle w:val="justify"/>
      </w:pPr>
      <w:r>
        <w:t> </w:t>
      </w:r>
      <w:bookmarkStart w:id="1" w:name="_GoBack"/>
      <w:bookmarkEnd w:id="1"/>
    </w:p>
    <w:p w:rsidR="00000000" w:rsidRDefault="008472A5">
      <w:pPr>
        <w:pStyle w:val="2"/>
        <w:rPr>
          <w:rFonts w:eastAsia="Times New Roman"/>
        </w:rPr>
      </w:pPr>
      <w:bookmarkStart w:id="2" w:name="a1"/>
      <w:bookmarkEnd w:id="2"/>
      <w:r>
        <w:rPr>
          <w:rFonts w:eastAsia="Times New Roman"/>
        </w:rPr>
        <w:t>З</w:t>
      </w:r>
      <w:r>
        <w:rPr>
          <w:rFonts w:eastAsia="Times New Roman"/>
        </w:rPr>
        <w:t>ащита персональных данных в Евросоюзе и Республике Беларусь: сходства и различия</w:t>
      </w:r>
    </w:p>
    <w:p w:rsidR="00000000" w:rsidRDefault="008472A5">
      <w:pPr>
        <w:pStyle w:val="justify"/>
      </w:pPr>
      <w:r>
        <w:t xml:space="preserve">Одна из целей </w:t>
      </w:r>
      <w:proofErr w:type="gramStart"/>
      <w:r>
        <w:t>интернет-маркетинга</w:t>
      </w:r>
      <w:proofErr w:type="gramEnd"/>
      <w:r>
        <w:t> - получение контактов «</w:t>
      </w:r>
      <w:r>
        <w:t xml:space="preserve">теплых» клиентов. Для этого повсеместно используются формы обратной связи, опросники, калькуляторы, </w:t>
      </w:r>
      <w:proofErr w:type="spellStart"/>
      <w:r>
        <w:t>квизы</w:t>
      </w:r>
      <w:proofErr w:type="spellEnd"/>
      <w:r>
        <w:t xml:space="preserve"> и другие способы захвата персональных данных. В них пользователь оставляет сам свои персональные данные, по которым потом осуществляется направление п</w:t>
      </w:r>
      <w:r>
        <w:t>редложений продавцами при использовании почты или телефона.</w:t>
      </w:r>
    </w:p>
    <w:p w:rsidR="00000000" w:rsidRDefault="008472A5">
      <w:pPr>
        <w:pStyle w:val="justify"/>
      </w:pPr>
      <w:r>
        <w:t>Персональные данные - любая информация, с помощью которой возможно идентифицировать физическое лицо. Объем этих данных в последнее время увеличился, возникают все новые механизмы мошенничества, по</w:t>
      </w:r>
      <w:r>
        <w:t>этому необходимо обезопасить лицо от посягательств на его персональные данные.</w:t>
      </w:r>
    </w:p>
    <w:p w:rsidR="00000000" w:rsidRDefault="008472A5">
      <w:pPr>
        <w:pStyle w:val="justify"/>
      </w:pPr>
      <w:r>
        <w:t xml:space="preserve">15 ноября 2021 г. вступил в силу </w:t>
      </w:r>
      <w:hyperlink r:id="rId5" w:anchor="a17" w:tooltip="+" w:history="1">
        <w:r>
          <w:rPr>
            <w:rStyle w:val="a3"/>
          </w:rPr>
          <w:t>Закон</w:t>
        </w:r>
      </w:hyperlink>
      <w:r>
        <w:t xml:space="preserve"> от 07.05.2021 № 99-З «О защите персональных данных». Это первый закон, специально пос</w:t>
      </w:r>
      <w:r>
        <w:t>вященный защите персональных данных в Республике Беларусь.</w:t>
      </w:r>
    </w:p>
    <w:p w:rsidR="00000000" w:rsidRDefault="008472A5">
      <w:pPr>
        <w:pStyle w:val="justify"/>
      </w:pPr>
      <w:r>
        <w:t>На законодательном уровне вопросы защиты персональных данных за рубежом уже давно оформлены. Так, в Европейском союзе Регламент по защите персональных данных (GDPR) (далее - Регламент) был разработ</w:t>
      </w:r>
      <w:r>
        <w:t>ан и принят Европарламентом и Советом Европейского союза еще в 2016 году, а вступил в законную силу 25 мая 2018 г. (</w:t>
      </w:r>
      <w:hyperlink w:anchor="a4" w:tooltip="+" w:history="1">
        <w:r>
          <w:rPr>
            <w:rStyle w:val="a3"/>
            <w:i/>
            <w:iCs/>
          </w:rPr>
          <w:t>примечание</w:t>
        </w:r>
      </w:hyperlink>
      <w:r>
        <w:t xml:space="preserve">). </w:t>
      </w:r>
      <w:proofErr w:type="gramStart"/>
      <w:r>
        <w:t>Несмотря на тот факт, что Регламент принят органами Европейского союза, любая организация подпа</w:t>
      </w:r>
      <w:r>
        <w:t>дает под действие Регламента, если официальный сайт организации предоставляет обратную связь, а также техническую поддержку на одном из государственных языков стран ЕС, имеет рекламу, которая направлена на жителей ЕС, проводит мониторинг действий физически</w:t>
      </w:r>
      <w:r>
        <w:t>х лиц, которые находятся на территории ЕС, прямо указывает, что организация нацелена на продвижение своей продукции</w:t>
      </w:r>
      <w:proofErr w:type="gramEnd"/>
      <w:r>
        <w:t xml:space="preserve"> на территории ЕС.</w:t>
      </w:r>
    </w:p>
    <w:p w:rsidR="00000000" w:rsidRDefault="008472A5">
      <w:pPr>
        <w:pStyle w:val="justify"/>
      </w:pPr>
      <w:r>
        <w:t>Многие положения Регламента актуальны и для белорусских пользователей, что подтверждается нормами белорусского законодател</w:t>
      </w:r>
      <w:r>
        <w:t xml:space="preserve">ьства в области защиты персональных данных. </w:t>
      </w:r>
      <w:proofErr w:type="gramStart"/>
      <w:r>
        <w:t>Обработка таких данных должна быть законной, справедливой и прозрачной для субъекта; данные должны обрабатываться для законных целей, которые явно определены для субъекта сбора данных; сбор и обработка такого кол</w:t>
      </w:r>
      <w:r>
        <w:t xml:space="preserve">ичества данных, сколько необходимо для </w:t>
      </w:r>
      <w:r>
        <w:lastRenderedPageBreak/>
        <w:t>указанных целей; точность личных данных и внесение в них изменений при необходимости; хранение личных данных только необходимый промежуток времени.</w:t>
      </w:r>
      <w:proofErr w:type="gramEnd"/>
    </w:p>
    <w:p w:rsidR="00000000" w:rsidRDefault="008472A5">
      <w:pPr>
        <w:pStyle w:val="justify"/>
      </w:pPr>
      <w:r>
        <w:t>Обработка должна обеспечить безопасность, целостность и конфиденциаль</w:t>
      </w:r>
      <w:r>
        <w:t>ность данных, защитить от несанкционированной или незаконной обработки и от случайной потери, уничтожения или повреждения, с использованием соответствующих технических или организационных мер (например, с использованием шифрования). Немаловажный фактор так</w:t>
      </w:r>
      <w:r>
        <w:t>же соблюдение принципа ответственности через назначение инспектора по защите данных (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), если такая обработка проводится государственным органом, осуществляется регулярный мониторинг данных, обрабатываются специальные категории данных</w:t>
      </w:r>
      <w:r>
        <w:t xml:space="preserve"> в крупных масштабах.</w:t>
      </w:r>
    </w:p>
    <w:p w:rsidR="00000000" w:rsidRDefault="008472A5">
      <w:pPr>
        <w:pStyle w:val="justify"/>
      </w:pPr>
      <w:r>
        <w:t>Кроме того, нужно:</w:t>
      </w:r>
    </w:p>
    <w:p w:rsidR="00000000" w:rsidRDefault="008472A5">
      <w:pPr>
        <w:pStyle w:val="listtext1"/>
      </w:pPr>
      <w:r>
        <w:t>• вести подробную документацию о собираемых данных, о том, как они используются, где хранятся и кто за них отвечает;</w:t>
      </w:r>
    </w:p>
    <w:p w:rsidR="00000000" w:rsidRDefault="008472A5">
      <w:pPr>
        <w:pStyle w:val="listtext1"/>
      </w:pPr>
      <w:r>
        <w:t>• определить законные основания для обработки данных;</w:t>
      </w:r>
    </w:p>
    <w:p w:rsidR="00000000" w:rsidRDefault="008472A5">
      <w:pPr>
        <w:pStyle w:val="listtext1"/>
      </w:pPr>
      <w:r>
        <w:t>• оценить риски и принять технические и организационные меры по их снижению.</w:t>
      </w:r>
    </w:p>
    <w:p w:rsidR="00000000" w:rsidRDefault="008472A5">
      <w:pPr>
        <w:pStyle w:val="justify"/>
      </w:pPr>
      <w:r>
        <w:t xml:space="preserve">Чтобы реализовать все поставленные цели по сбору данных через сайт на территории ЕС, белорусской организации необходимо подготовить минимальный пакет документов, состоящий </w:t>
      </w:r>
      <w:proofErr w:type="gramStart"/>
      <w:r>
        <w:t>из</w:t>
      </w:r>
      <w:proofErr w:type="gramEnd"/>
      <w:r>
        <w:t>:</w:t>
      </w:r>
    </w:p>
    <w:p w:rsidR="00000000" w:rsidRDefault="008472A5">
      <w:pPr>
        <w:pStyle w:val="listtext1"/>
      </w:pPr>
      <w:r>
        <w:t>• у</w:t>
      </w:r>
      <w:r>
        <w:t>ведомления об обработке персональных данных (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Notice</w:t>
      </w:r>
      <w:proofErr w:type="spellEnd"/>
      <w:r>
        <w:t>), которое должно содержать информацию о порядке использования персональных данных пользователя: объем собираемых данных, порядок их сбора, использования и период хранения таких данных, а также при</w:t>
      </w:r>
      <w:r>
        <w:t xml:space="preserve"> необходимости указывается возможность передачи таких данных третьим сторонам;</w:t>
      </w:r>
    </w:p>
    <w:p w:rsidR="00000000" w:rsidRDefault="008472A5">
      <w:pPr>
        <w:pStyle w:val="listtext1"/>
      </w:pPr>
      <w:r>
        <w:t>• политики обработки персональных данных (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>);</w:t>
      </w:r>
    </w:p>
    <w:p w:rsidR="00000000" w:rsidRPr="008472A5" w:rsidRDefault="008472A5">
      <w:pPr>
        <w:pStyle w:val="listtext1"/>
        <w:rPr>
          <w:lang w:val="en-US"/>
        </w:rPr>
      </w:pPr>
      <w:r w:rsidRPr="008472A5">
        <w:rPr>
          <w:lang w:val="en-US"/>
        </w:rPr>
        <w:t xml:space="preserve">• </w:t>
      </w:r>
      <w:proofErr w:type="gramStart"/>
      <w:r>
        <w:t>согласия</w:t>
      </w:r>
      <w:proofErr w:type="gramEnd"/>
      <w:r w:rsidRPr="008472A5">
        <w:rPr>
          <w:lang w:val="en-US"/>
        </w:rPr>
        <w:t xml:space="preserve"> </w:t>
      </w:r>
      <w:r>
        <w:t>на</w:t>
      </w:r>
      <w:r w:rsidRPr="008472A5">
        <w:rPr>
          <w:lang w:val="en-US"/>
        </w:rPr>
        <w:t xml:space="preserve"> </w:t>
      </w:r>
      <w:r>
        <w:t>обработку</w:t>
      </w:r>
      <w:r w:rsidRPr="008472A5">
        <w:rPr>
          <w:lang w:val="en-US"/>
        </w:rPr>
        <w:t xml:space="preserve"> </w:t>
      </w:r>
      <w:r>
        <w:t>персональных</w:t>
      </w:r>
      <w:r w:rsidRPr="008472A5">
        <w:rPr>
          <w:lang w:val="en-US"/>
        </w:rPr>
        <w:t xml:space="preserve"> </w:t>
      </w:r>
      <w:r>
        <w:t>данных</w:t>
      </w:r>
      <w:r w:rsidRPr="008472A5">
        <w:rPr>
          <w:lang w:val="en-US"/>
        </w:rPr>
        <w:t xml:space="preserve"> (Consent to the processing of personal data);</w:t>
      </w:r>
    </w:p>
    <w:p w:rsidR="00000000" w:rsidRDefault="008472A5">
      <w:pPr>
        <w:pStyle w:val="listtext1"/>
      </w:pPr>
      <w:r>
        <w:t>• политики защиты персональн</w:t>
      </w:r>
      <w:r>
        <w:t>ых данных (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policy</w:t>
      </w:r>
      <w:proofErr w:type="spellEnd"/>
      <w:r>
        <w:t>);</w:t>
      </w:r>
    </w:p>
    <w:p w:rsidR="00000000" w:rsidRDefault="008472A5">
      <w:pPr>
        <w:pStyle w:val="listtext1"/>
      </w:pPr>
      <w:r>
        <w:t>• соглашения, заключаемого между оператором персональных данных (</w:t>
      </w:r>
      <w:proofErr w:type="spellStart"/>
      <w:r>
        <w:t>controller</w:t>
      </w:r>
      <w:proofErr w:type="spellEnd"/>
      <w:r>
        <w:t>) и обработчиком персональных данных (</w:t>
      </w:r>
      <w:proofErr w:type="spellStart"/>
      <w:r>
        <w:t>processor</w:t>
      </w:r>
      <w:proofErr w:type="spellEnd"/>
      <w:r>
        <w:t>) (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) - в случае необходимости;</w:t>
      </w:r>
    </w:p>
    <w:p w:rsidR="00000000" w:rsidRDefault="008472A5">
      <w:pPr>
        <w:pStyle w:val="listtext1"/>
      </w:pPr>
      <w:r>
        <w:t xml:space="preserve">• политики обработки </w:t>
      </w:r>
      <w:proofErr w:type="spellStart"/>
      <w:r>
        <w:t>cookie</w:t>
      </w:r>
      <w:proofErr w:type="spellEnd"/>
      <w:r>
        <w:t>-файло</w:t>
      </w:r>
      <w:r>
        <w:t>в (</w:t>
      </w:r>
      <w:proofErr w:type="spellStart"/>
      <w:proofErr w:type="gramStart"/>
      <w:r>
        <w:t>С</w:t>
      </w:r>
      <w:proofErr w:type="gramEnd"/>
      <w:r>
        <w:t>ookie</w:t>
      </w:r>
      <w:proofErr w:type="spellEnd"/>
      <w:r>
        <w:t xml:space="preserve"> </w:t>
      </w:r>
      <w:proofErr w:type="spellStart"/>
      <w:r>
        <w:t>Policy</w:t>
      </w:r>
      <w:proofErr w:type="spellEnd"/>
      <w:r>
        <w:t>).</w:t>
      </w:r>
    </w:p>
    <w:p w:rsidR="00000000" w:rsidRDefault="008472A5">
      <w:pPr>
        <w:pStyle w:val="justify"/>
      </w:pPr>
      <w:r>
        <w:t>При этом существует возможность создать один консолидированный документ - политику обработки персональных данных (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), который будет включать и уведомление об обработке персональных данных и политику обработки </w:t>
      </w:r>
      <w:proofErr w:type="spellStart"/>
      <w:r>
        <w:t>cookie</w:t>
      </w:r>
      <w:proofErr w:type="spellEnd"/>
      <w:r>
        <w:t>-файлов (</w:t>
      </w:r>
      <w:proofErr w:type="spellStart"/>
      <w:proofErr w:type="gramStart"/>
      <w:r>
        <w:t>С</w:t>
      </w:r>
      <w:proofErr w:type="gramEnd"/>
      <w:r>
        <w:t>ookie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). </w:t>
      </w:r>
      <w:proofErr w:type="spellStart"/>
      <w:r>
        <w:t>С</w:t>
      </w:r>
      <w:proofErr w:type="gramStart"/>
      <w:r>
        <w:t>ookie</w:t>
      </w:r>
      <w:proofErr w:type="spellEnd"/>
      <w:proofErr w:type="gramEnd"/>
      <w:r>
        <w:t>-файлы также относят к персональным данным: они позволяют определить субъекта персональных данных. Однако конкретный пользователь определяется не по его паспортным данным и месту жительства - при этом используется информация о его акт</w:t>
      </w:r>
      <w:r>
        <w:t>ивностях на сайте для возможного контакта через e-</w:t>
      </w:r>
      <w:proofErr w:type="spellStart"/>
      <w:r>
        <w:t>mail</w:t>
      </w:r>
      <w:proofErr w:type="spellEnd"/>
      <w:r>
        <w:t>.</w:t>
      </w:r>
    </w:p>
    <w:p w:rsidR="00000000" w:rsidRDefault="008472A5">
      <w:pPr>
        <w:pStyle w:val="justify"/>
      </w:pPr>
      <w:r>
        <w:t>Согласие на обработку персональных данных (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>) - одно из законных оснований для их обработки согласно Регламенту. Оно требуется в случае, если пользователь подп</w:t>
      </w:r>
      <w:r>
        <w:t>исывается на рассылки, предлагаемые компанией и осуществляемые через электронную почту. Строгой формы согласия нет, однако оно должно быть понятно изложено и содержать цели сбора данных, порядок их обработки. При этом в согласии на обработку персональных д</w:t>
      </w:r>
      <w:r>
        <w:t xml:space="preserve">анных в обязательном порядке должна быть предусмотрена </w:t>
      </w:r>
      <w:r>
        <w:lastRenderedPageBreak/>
        <w:t>возможность отзыва согласия пользователя, которая прописывается в политике обработки персональных данных.</w:t>
      </w:r>
    </w:p>
    <w:p w:rsidR="00000000" w:rsidRDefault="008472A5">
      <w:pPr>
        <w:pStyle w:val="justify"/>
      </w:pPr>
      <w:r>
        <w:t xml:space="preserve">Для законодательного регулирования этого вопроса в Республике Беларусь принят </w:t>
      </w:r>
      <w:hyperlink r:id="rId6" w:anchor="a17" w:tooltip="+" w:history="1">
        <w:r>
          <w:rPr>
            <w:rStyle w:val="a3"/>
          </w:rPr>
          <w:t>Закон</w:t>
        </w:r>
      </w:hyperlink>
      <w:r>
        <w:t xml:space="preserve"> № 99-З, который направлен на обеспечение защиты персональных данных, прав и свобод физических лиц при обработке их данных.</w:t>
      </w:r>
    </w:p>
    <w:p w:rsidR="00000000" w:rsidRDefault="008472A5">
      <w:pPr>
        <w:pStyle w:val="justify"/>
      </w:pPr>
      <w:hyperlink r:id="rId7" w:anchor="a17" w:tooltip="+" w:history="1">
        <w:r>
          <w:rPr>
            <w:rStyle w:val="a3"/>
          </w:rPr>
          <w:t>Закон</w:t>
        </w:r>
      </w:hyperlink>
      <w:r>
        <w:t xml:space="preserve"> № 99-З во многом схож по своим п</w:t>
      </w:r>
      <w:r>
        <w:t>оложениям с Регламентом. Например, сохраняется подход, в соответствии с которым персональными данными является любая информация, с помощью которой возможно идентифицировать физическое лицо (</w:t>
      </w:r>
      <w:hyperlink r:id="rId8" w:anchor="a43" w:tooltip="+" w:history="1">
        <w:r>
          <w:rPr>
            <w:rStyle w:val="a3"/>
          </w:rPr>
          <w:t>абз.9</w:t>
        </w:r>
      </w:hyperlink>
      <w:r>
        <w:t xml:space="preserve"> ст.1 За</w:t>
      </w:r>
      <w:r>
        <w:t>кона № 99-З). Однако существуют и некоторые различия.</w:t>
      </w:r>
    </w:p>
    <w:p w:rsidR="00000000" w:rsidRDefault="008472A5">
      <w:pPr>
        <w:pStyle w:val="justify"/>
      </w:pPr>
      <w:r>
        <w:t xml:space="preserve">В частности, </w:t>
      </w:r>
      <w:hyperlink r:id="rId9" w:anchor="a17" w:tooltip="+" w:history="1">
        <w:r>
          <w:rPr>
            <w:rStyle w:val="a3"/>
          </w:rPr>
          <w:t>Законом</w:t>
        </w:r>
      </w:hyperlink>
      <w:r>
        <w:t xml:space="preserve"> № 99-З предусматривается определение порядка трансграничной передачи персональных данных (</w:t>
      </w:r>
      <w:hyperlink r:id="rId10" w:anchor="a26" w:tooltip="+" w:history="1">
        <w:r>
          <w:rPr>
            <w:rStyle w:val="a3"/>
          </w:rPr>
          <w:t>ст.9</w:t>
        </w:r>
      </w:hyperlink>
      <w:r>
        <w:t>). Такая передача запрещается, если на территории иностранного государства не обеспечивается надлежащий уровень защиты прав субъектов персональных данных. Регламент дает возможность передачи собранны</w:t>
      </w:r>
      <w:r>
        <w:t>х сведений в третьи страны, даже если эти страны не предоставляют надлежащий уровень защиты информации, если субъект данных дает свое согласие на такую передачу. Для этого достаточно подписать специальное соглашение и стандартные условия о передаче персона</w:t>
      </w:r>
      <w:r>
        <w:t>льных данных.</w:t>
      </w:r>
    </w:p>
    <w:p w:rsidR="00000000" w:rsidRDefault="008472A5">
      <w:pPr>
        <w:pStyle w:val="justify"/>
      </w:pPr>
      <w:r>
        <w:t xml:space="preserve">Еще одно различие в том, что </w:t>
      </w:r>
      <w:hyperlink r:id="rId11" w:anchor="a17" w:tooltip="+" w:history="1">
        <w:r>
          <w:rPr>
            <w:rStyle w:val="a3"/>
          </w:rPr>
          <w:t>Закон</w:t>
        </w:r>
      </w:hyperlink>
      <w:r>
        <w:t xml:space="preserve"> № 99-З не содержит требований к программному обеспечению для защиты пользователей и поверхностно регулирует технические способы защиты персональных данных</w:t>
      </w:r>
      <w:r>
        <w:t>.</w:t>
      </w:r>
    </w:p>
    <w:p w:rsidR="00000000" w:rsidRDefault="008472A5">
      <w:pPr>
        <w:pStyle w:val="justify"/>
      </w:pPr>
      <w:r>
        <w:t>Если компания обрабатывает данные пользователей - собирает их телефоны, адреса электронной почты для обратной связи, то в таком случае необходимо назначить ответственного за защиту персональных данных. Здесь различие двух актов права состоит в том, что Р</w:t>
      </w:r>
      <w:r>
        <w:t xml:space="preserve">егламент требует назначать такого ответственного только в том случае, если основная деятельность компании требует масштабного, регулярного и систематического мониторинга данных, тогда как </w:t>
      </w:r>
      <w:hyperlink r:id="rId12" w:anchor="a17" w:tooltip="+" w:history="1">
        <w:r>
          <w:rPr>
            <w:rStyle w:val="a3"/>
          </w:rPr>
          <w:t>Закон</w:t>
        </w:r>
      </w:hyperlink>
      <w:r>
        <w:t xml:space="preserve"> № 99-З тр</w:t>
      </w:r>
      <w:r>
        <w:t>ебует назначать такого ответственного в любом случае (</w:t>
      </w:r>
      <w:hyperlink r:id="rId13" w:anchor="a90" w:tooltip="+" w:history="1">
        <w:r>
          <w:rPr>
            <w:rStyle w:val="a3"/>
          </w:rPr>
          <w:t>п.3</w:t>
        </w:r>
      </w:hyperlink>
      <w:r>
        <w:t xml:space="preserve"> ст.17).</w:t>
      </w:r>
    </w:p>
    <w:p w:rsidR="00000000" w:rsidRDefault="008472A5">
      <w:pPr>
        <w:pStyle w:val="justify"/>
      </w:pPr>
      <w:r>
        <w:t xml:space="preserve">По смыслу </w:t>
      </w:r>
      <w:hyperlink r:id="rId14" w:anchor="a17" w:tooltip="+" w:history="1">
        <w:r>
          <w:rPr>
            <w:rStyle w:val="a3"/>
          </w:rPr>
          <w:t>Закона</w:t>
        </w:r>
      </w:hyperlink>
      <w:r>
        <w:t xml:space="preserve"> № 99-З любой субъект, который самостоятельно или совместно с кем-ли</w:t>
      </w:r>
      <w:r>
        <w:t>бо организует и осуществляет обработку данных, является оператором (</w:t>
      </w:r>
      <w:hyperlink r:id="rId15" w:anchor="a53" w:tooltip="+" w:history="1">
        <w:r>
          <w:rPr>
            <w:rStyle w:val="a3"/>
          </w:rPr>
          <w:t>абз.8</w:t>
        </w:r>
      </w:hyperlink>
      <w:r>
        <w:t xml:space="preserve"> ст.1). Оператором может стать любое лицо, которое осуществляет обработку персональных данных в связи с профессиональной или предп</w:t>
      </w:r>
      <w:r>
        <w:t xml:space="preserve">ринимательской деятельностью. При этом не важно, как обрабатываются данные: с помощью автоматизированных средств или без них (например, картотеки, списки и т. п.). Оператору всегда необходимо получать согласие на обработку персональных данных от субъектов </w:t>
      </w:r>
      <w:r>
        <w:t>данных. По Регламенту в аналогичной ситуации при определенных условиях можно не получать согласие пользователя, а ссылаться на законный (легитимный) интерес.</w:t>
      </w:r>
    </w:p>
    <w:p w:rsidR="00000000" w:rsidRDefault="008472A5">
      <w:pPr>
        <w:pStyle w:val="justify"/>
      </w:pPr>
      <w:r>
        <w:t>Согласие на обработку данных может быть дано как в письменной форме, так и с помощью CMC-сообщения</w:t>
      </w:r>
      <w:r>
        <w:t xml:space="preserve"> с кодом, электронной почты, а также проставления отметки на сайте (пп.</w:t>
      </w:r>
      <w:hyperlink r:id="rId16" w:anchor="a100" w:tooltip="+" w:history="1">
        <w:r>
          <w:rPr>
            <w:rStyle w:val="a3"/>
          </w:rPr>
          <w:t>2</w:t>
        </w:r>
      </w:hyperlink>
      <w:r>
        <w:t>, 3 ст.5 Закона № 99-З). Обязанность доказывания получения согласия субъекта персональных данных возлагается на оператора (</w:t>
      </w:r>
      <w:hyperlink r:id="rId17" w:anchor="a73" w:tooltip="+" w:history="1">
        <w:r>
          <w:rPr>
            <w:rStyle w:val="a3"/>
          </w:rPr>
          <w:t>п.7</w:t>
        </w:r>
      </w:hyperlink>
      <w:r>
        <w:t xml:space="preserve"> ст.5 Закона № 99-З), поэтому рекомендуем хранить такие данные. Оператор также должен обеспечить неограниченный доступ, в том числе с использованием сети Интернет, к документам, определяющим его политику в </w:t>
      </w:r>
      <w:r>
        <w:t>отношении обработки персональных данных, до начала такой обработки. Содержание и объем обрабатываемых данных должны соответствовать заявленным целям их обработки, а при появлении новых необходимо получать новое согласие.</w:t>
      </w:r>
    </w:p>
    <w:p w:rsidR="00000000" w:rsidRDefault="008472A5">
      <w:pPr>
        <w:pStyle w:val="justify"/>
      </w:pPr>
      <w:r>
        <w:t>Субъект персональных данных при дач</w:t>
      </w:r>
      <w:r>
        <w:t xml:space="preserve">е своего согласия указывает свои фамилию, имя, отчество (если таковое имеется), дату рождения, идентификационный номер, а при отсутствии такого - номер документа, удостоверяющего его личность. Но если цели обработки </w:t>
      </w:r>
      <w:r>
        <w:lastRenderedPageBreak/>
        <w:t>персональных данных не требуют обработки</w:t>
      </w:r>
      <w:r>
        <w:t xml:space="preserve"> такой информации, то эта информация не подлежит обработке оператором (</w:t>
      </w:r>
      <w:hyperlink r:id="rId18" w:anchor="a2" w:tooltip="+" w:history="1">
        <w:r>
          <w:rPr>
            <w:rStyle w:val="a3"/>
          </w:rPr>
          <w:t>п.6</w:t>
        </w:r>
      </w:hyperlink>
      <w:r>
        <w:t xml:space="preserve"> ст.5 Закона № 99-З). Пользователь может в любой момент отозвать свое согласие на использование персональных данных, и оператор обя</w:t>
      </w:r>
      <w:r>
        <w:t>зан в 15-дневный срок прекратить их сбор, удалить их и уведомить об этом пользователя (</w:t>
      </w:r>
      <w:hyperlink r:id="rId19" w:anchor="a119" w:tooltip="+" w:history="1">
        <w:r>
          <w:rPr>
            <w:rStyle w:val="a3"/>
          </w:rPr>
          <w:t>п.8</w:t>
        </w:r>
      </w:hyperlink>
      <w:r>
        <w:t xml:space="preserve"> ст.5, </w:t>
      </w:r>
      <w:hyperlink r:id="rId20" w:anchor="a11" w:tooltip="+" w:history="1">
        <w:r>
          <w:rPr>
            <w:rStyle w:val="a3"/>
          </w:rPr>
          <w:t>ст.10</w:t>
        </w:r>
      </w:hyperlink>
      <w:r>
        <w:t xml:space="preserve"> Закона № 99-З).</w:t>
      </w:r>
    </w:p>
    <w:p w:rsidR="00000000" w:rsidRDefault="008472A5">
      <w:pPr>
        <w:pStyle w:val="2"/>
        <w:rPr>
          <w:rFonts w:eastAsia="Times New Roman"/>
        </w:rPr>
      </w:pPr>
      <w:bookmarkStart w:id="3" w:name="a2"/>
      <w:bookmarkEnd w:id="3"/>
      <w:r>
        <w:rPr>
          <w:rFonts w:eastAsia="Times New Roman"/>
        </w:rPr>
        <w:t xml:space="preserve">Ответственность за нарушения </w:t>
      </w:r>
      <w:r>
        <w:rPr>
          <w:rFonts w:eastAsia="Times New Roman"/>
        </w:rPr>
        <w:t>в сфере персональных данных</w:t>
      </w:r>
    </w:p>
    <w:p w:rsidR="00000000" w:rsidRDefault="008472A5">
      <w:pPr>
        <w:pStyle w:val="justify"/>
      </w:pPr>
      <w:r>
        <w:t xml:space="preserve">До 1 марта 2021 г. ответственность за нарушения в сфере персональных данных, предусмотренная </w:t>
      </w:r>
      <w:hyperlink r:id="rId21" w:anchor="a1246" w:tooltip="+ Документ утратил силу с 1 марта 2021 г." w:history="1">
        <w:r>
          <w:rPr>
            <w:rStyle w:val="a3"/>
          </w:rPr>
          <w:t>КоАП</w:t>
        </w:r>
      </w:hyperlink>
      <w:r>
        <w:t>, касалась только узкого круга физи</w:t>
      </w:r>
      <w:r>
        <w:t>ческих лиц, которым коммерческая или иная охраняемая законом тайна либо персональные данные стали известны в связи с профессиональной или служебной деятельностью.</w:t>
      </w:r>
    </w:p>
    <w:p w:rsidR="00000000" w:rsidRDefault="008472A5">
      <w:pPr>
        <w:pStyle w:val="justify"/>
      </w:pPr>
      <w:proofErr w:type="gramStart"/>
      <w:r>
        <w:t xml:space="preserve">С 1 марта 2021 г. незаконные сбор, обработка, хранение или предоставление данных физического </w:t>
      </w:r>
      <w:r>
        <w:t>лица либо нарушение его прав, связанных с обработкой данных, влекут наложение штрафа в размере до 50 БВ (</w:t>
      </w:r>
      <w:hyperlink r:id="rId22" w:anchor="a541" w:tooltip="+" w:history="1">
        <w:r>
          <w:rPr>
            <w:rStyle w:val="a3"/>
          </w:rPr>
          <w:t>ч.1</w:t>
        </w:r>
      </w:hyperlink>
      <w:r>
        <w:t xml:space="preserve"> ст.23.7 КоАП).</w:t>
      </w:r>
      <w:proofErr w:type="gramEnd"/>
      <w:r>
        <w:t xml:space="preserve"> Если такие деяния совершены лицом, которому персональные данные известны в св</w:t>
      </w:r>
      <w:r>
        <w:t>язи с его профессиональной деятельностью, то размер штрафа составляет до 100 БВ (</w:t>
      </w:r>
      <w:hyperlink r:id="rId23" w:anchor="a1062" w:tooltip="+" w:history="1">
        <w:r>
          <w:rPr>
            <w:rStyle w:val="a3"/>
          </w:rPr>
          <w:t>ч.2</w:t>
        </w:r>
      </w:hyperlink>
      <w:r>
        <w:t xml:space="preserve"> ст.23.7 КоАП). На данный момент на рассмотрении находится вопрос ужесточения уголовной ответственности за незаконн</w:t>
      </w:r>
      <w:r>
        <w:t>ое раскрытие персональных данных.</w:t>
      </w:r>
    </w:p>
    <w:p w:rsidR="00000000" w:rsidRDefault="008472A5">
      <w:pPr>
        <w:pStyle w:val="podzag1"/>
      </w:pPr>
      <w:bookmarkStart w:id="4" w:name="a3"/>
      <w:bookmarkEnd w:id="4"/>
      <w:r>
        <w:t>Выводы</w:t>
      </w:r>
    </w:p>
    <w:p w:rsidR="00000000" w:rsidRDefault="008472A5">
      <w:pPr>
        <w:pStyle w:val="justify"/>
      </w:pPr>
      <w:hyperlink r:id="rId24" w:anchor="a17" w:tooltip="+" w:history="1">
        <w:r>
          <w:rPr>
            <w:rStyle w:val="a3"/>
          </w:rPr>
          <w:t>Закон</w:t>
        </w:r>
      </w:hyperlink>
      <w:r>
        <w:t xml:space="preserve"> № 99-З отличается от Регламента, но вместе с тем в большой степени учел европейский опыт. Например, общим для этих двух правовых актов является утверждение </w:t>
      </w:r>
      <w:r>
        <w:t>о том, что обработка персональных данных оператором или уполномоченным лицом невозможна без получения согласия субъекта данных. Содержание и объем обрабатываемых персональных данных должны соответствовать заявленным целям их обработки, а при появлении новы</w:t>
      </w:r>
      <w:r>
        <w:t>х целей обработки необходимо получение нового согласия. Оно может быть дано как в письменной форме, так и с помощью CMC-сообщения с кодом, электронной почты, а также проставления отметки (галочки) на сайте.</w:t>
      </w:r>
    </w:p>
    <w:p w:rsidR="00000000" w:rsidRDefault="008472A5">
      <w:pPr>
        <w:pStyle w:val="justify"/>
      </w:pPr>
      <w:r>
        <w:t> </w:t>
      </w:r>
    </w:p>
    <w:p w:rsidR="00000000" w:rsidRDefault="008472A5">
      <w:pPr>
        <w:pStyle w:val="justify"/>
      </w:pPr>
      <w:bookmarkStart w:id="5" w:name="a4"/>
      <w:bookmarkEnd w:id="5"/>
      <w:r>
        <w:rPr>
          <w:i/>
          <w:iCs/>
        </w:rPr>
        <w:t>Примечание.</w:t>
      </w:r>
      <w:r>
        <w:t xml:space="preserve"> Регламент 2016/679 Европейского пар</w:t>
      </w:r>
      <w:r>
        <w:t>ламента и Совета Европейского союза от 27.04.2016 о защите физических лиц в отношении обработки персональных данных и о свободном перемещении таких данных (Общие правила защиты данных). Дата доступа: 11.10.2021. Режим доступа: https://eur-lex.europa.eu/leg</w:t>
      </w:r>
      <w:r>
        <w:t>al-content/EN/TXT/?uri=CELEX:32016R0679.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02"/>
    <w:rsid w:val="004836CC"/>
    <w:rsid w:val="00827F02"/>
    <w:rsid w:val="0084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6018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8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810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56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1649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5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  <w:div w:id="669144227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456009&amp;a=43" TargetMode="External"/><Relationship Id="rId13" Type="http://schemas.openxmlformats.org/officeDocument/2006/relationships/hyperlink" Target="file:///C:\Users\Admin\Downloads\tx.dll%3fd=456009&amp;a=90" TargetMode="External"/><Relationship Id="rId18" Type="http://schemas.openxmlformats.org/officeDocument/2006/relationships/hyperlink" Target="file:///C:\Users\Admin\Downloads\tx.dll%3fd=456009&amp;a=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Admin\Downloads\tx.dll%3fd=61999&amp;a=1246" TargetMode="External"/><Relationship Id="rId7" Type="http://schemas.openxmlformats.org/officeDocument/2006/relationships/hyperlink" Target="file:///C:\Users\Admin\Downloads\tx.dll%3fd=456009&amp;a=17" TargetMode="External"/><Relationship Id="rId12" Type="http://schemas.openxmlformats.org/officeDocument/2006/relationships/hyperlink" Target="file:///C:\Users\Admin\Downloads\tx.dll%3fd=456009&amp;a=17" TargetMode="External"/><Relationship Id="rId17" Type="http://schemas.openxmlformats.org/officeDocument/2006/relationships/hyperlink" Target="file:///C:\Users\Admin\Downloads\tx.dll%3fd=456009&amp;a=73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ownloads\tx.dll%3fd=456009&amp;a=100" TargetMode="External"/><Relationship Id="rId20" Type="http://schemas.openxmlformats.org/officeDocument/2006/relationships/hyperlink" Target="file:///C:\Users\Admin\Downloads\tx.dll%3fd=456009&amp;a=1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456009&amp;a=17" TargetMode="External"/><Relationship Id="rId11" Type="http://schemas.openxmlformats.org/officeDocument/2006/relationships/hyperlink" Target="file:///C:\Users\Admin\Downloads\tx.dll%3fd=456009&amp;a=17" TargetMode="External"/><Relationship Id="rId24" Type="http://schemas.openxmlformats.org/officeDocument/2006/relationships/hyperlink" Target="file:///C:\Users\Admin\Downloads\tx.dll%3fd=456009&amp;a=17" TargetMode="External"/><Relationship Id="rId5" Type="http://schemas.openxmlformats.org/officeDocument/2006/relationships/hyperlink" Target="file:///C:\Users\Admin\Downloads\tx.dll%3fd=456009&amp;a=17" TargetMode="External"/><Relationship Id="rId15" Type="http://schemas.openxmlformats.org/officeDocument/2006/relationships/hyperlink" Target="file:///C:\Users\Admin\Downloads\tx.dll%3fd=456009&amp;a=53" TargetMode="External"/><Relationship Id="rId23" Type="http://schemas.openxmlformats.org/officeDocument/2006/relationships/hyperlink" Target="file:///C:\Users\Admin\Downloads\tx.dll%3fd=447159&amp;a=1062" TargetMode="External"/><Relationship Id="rId10" Type="http://schemas.openxmlformats.org/officeDocument/2006/relationships/hyperlink" Target="file:///C:\Users\Admin\Downloads\tx.dll%3fd=456009&amp;a=26" TargetMode="External"/><Relationship Id="rId19" Type="http://schemas.openxmlformats.org/officeDocument/2006/relationships/hyperlink" Target="file:///C:\Users\Admin\Downloads\tx.dll%3fd=456009&amp;a=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tx.dll%3fd=456009&amp;a=17" TargetMode="External"/><Relationship Id="rId14" Type="http://schemas.openxmlformats.org/officeDocument/2006/relationships/hyperlink" Target="file:///C:\Users\Admin\Downloads\tx.dll%3fd=456009&amp;a=17" TargetMode="External"/><Relationship Id="rId22" Type="http://schemas.openxmlformats.org/officeDocument/2006/relationships/hyperlink" Target="file:///C:\Users\Admin\Downloads\tx.dll%3fd=447159&amp;a=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2024-11-01T09:07:00Z</dcterms:created>
  <dcterms:modified xsi:type="dcterms:W3CDTF">2024-11-01T09:10:00Z</dcterms:modified>
</cp:coreProperties>
</file>