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78" w:rsidRPr="007A2CB3" w:rsidRDefault="007A2CB3" w:rsidP="00B71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7A2C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Брестская область: пятилетие созидания</w:t>
      </w:r>
    </w:p>
    <w:p w:rsidR="00FE578D" w:rsidRPr="00C80556" w:rsidRDefault="00FE578D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Брестчина</w:t>
      </w:r>
      <w:r w:rsidR="00F73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праву является</w:t>
      </w:r>
      <w:r w:rsidR="00F73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</w:t>
      </w:r>
      <w:r w:rsidR="00F737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динамично развивающихся регионов республики. </w:t>
      </w:r>
    </w:p>
    <w:p w:rsidR="00FE578D" w:rsidRPr="00881AE4" w:rsidRDefault="00FE578D" w:rsidP="007A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долюобласти приходится около 9,5% валов</w:t>
      </w: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внутреннего продукта республики, без малого 11% промышленного производства,почти 20% валов</w:t>
      </w: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й продукции сельского хозяйства ичетверть республиканского объ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емаэкспорта сельхозпродукции.</w:t>
      </w:r>
    </w:p>
    <w:p w:rsidR="00C80556" w:rsidRPr="0008517D" w:rsidRDefault="00C64BBF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hAnsi="Times New Roman" w:cs="Times New Roman"/>
          <w:sz w:val="30"/>
          <w:szCs w:val="30"/>
          <w:shd w:val="clear" w:color="auto" w:fill="FFFFFF"/>
        </w:rPr>
        <w:t>За выполнение основных показателей социально-экономического развития</w:t>
      </w:r>
      <w:r w:rsidRPr="00C80556">
        <w:rPr>
          <w:rFonts w:ascii="Times New Roman" w:hAnsi="Times New Roman" w:cs="Times New Roman"/>
          <w:iCs/>
          <w:sz w:val="30"/>
          <w:szCs w:val="30"/>
          <w:lang w:eastAsia="ru-RU"/>
        </w:rPr>
        <w:t>по итогам2019 года область занесена на республиканскую Доску почета.</w:t>
      </w:r>
    </w:p>
    <w:p w:rsidR="00C64BBF" w:rsidRPr="00C80556" w:rsidRDefault="00C80556" w:rsidP="00085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0556">
        <w:rPr>
          <w:rFonts w:ascii="Times New Roman" w:hAnsi="Times New Roman" w:cs="Times New Roman"/>
          <w:b/>
          <w:sz w:val="30"/>
          <w:szCs w:val="30"/>
        </w:rPr>
        <w:t>Экономика</w:t>
      </w:r>
    </w:p>
    <w:p w:rsidR="00C80556" w:rsidRPr="007A2CB3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За 4 года текущей пятилетки </w:t>
      </w:r>
      <w:r w:rsidRPr="00C80556">
        <w:rPr>
          <w:rFonts w:ascii="Times New Roman" w:hAnsi="Times New Roman" w:cs="Times New Roman"/>
          <w:b/>
          <w:sz w:val="30"/>
          <w:szCs w:val="30"/>
        </w:rPr>
        <w:t xml:space="preserve">Брестская область </w:t>
      </w:r>
      <w:r w:rsidRPr="007A2CB3">
        <w:rPr>
          <w:rFonts w:ascii="Times New Roman" w:hAnsi="Times New Roman" w:cs="Times New Roman"/>
          <w:sz w:val="30"/>
          <w:szCs w:val="30"/>
        </w:rPr>
        <w:t>выполнила основные показатели, предусмотренные на указанный период Программой социально-экономического развития Республики Беларусь на 2016-2020 годы.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CB3">
        <w:rPr>
          <w:rFonts w:ascii="Times New Roman" w:hAnsi="Times New Roman" w:cs="Times New Roman"/>
          <w:b/>
          <w:sz w:val="30"/>
          <w:szCs w:val="30"/>
        </w:rPr>
        <w:t>Темп роста ВРП</w:t>
      </w:r>
      <w:r w:rsidRPr="007A2CB3">
        <w:rPr>
          <w:rFonts w:ascii="Times New Roman" w:hAnsi="Times New Roman" w:cs="Times New Roman"/>
          <w:sz w:val="30"/>
          <w:szCs w:val="30"/>
        </w:rPr>
        <w:t xml:space="preserve"> по области составил 108,7%, и это один из самых</w:t>
      </w:r>
      <w:r w:rsidRPr="00C80556">
        <w:rPr>
          <w:rFonts w:ascii="Times New Roman" w:hAnsi="Times New Roman" w:cs="Times New Roman"/>
          <w:sz w:val="30"/>
          <w:szCs w:val="30"/>
        </w:rPr>
        <w:t xml:space="preserve"> высоких темпов роста в республике.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80556">
        <w:rPr>
          <w:rFonts w:ascii="Times New Roman" w:hAnsi="Times New Roman" w:cs="Times New Roman"/>
          <w:spacing w:val="-4"/>
          <w:sz w:val="30"/>
          <w:szCs w:val="30"/>
        </w:rPr>
        <w:t>Обеспечен такой результат во многом за счет опережающего развития основных отраслей реального сектора экономики.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Брестская область выделяется среди других областей наиболее благоприятными погодными условиями для высокоэффективного сельскохозяйственного производства. Поэтому основным валообразующим сегментом области является </w:t>
      </w:r>
      <w:r w:rsidRPr="00C80556">
        <w:rPr>
          <w:rFonts w:ascii="Times New Roman" w:hAnsi="Times New Roman" w:cs="Times New Roman"/>
          <w:b/>
          <w:sz w:val="30"/>
          <w:szCs w:val="30"/>
        </w:rPr>
        <w:t>перерабатывающая промышленность</w:t>
      </w:r>
      <w:r w:rsidRPr="00C80556">
        <w:rPr>
          <w:rFonts w:ascii="Times New Roman" w:hAnsi="Times New Roman" w:cs="Times New Roman"/>
          <w:sz w:val="30"/>
          <w:szCs w:val="30"/>
        </w:rPr>
        <w:t xml:space="preserve">, и, в первую очередь, производство продуктов питания и напитков. Активно развиваются и продвигаются на внутренний и международный рынки широкоузнаваемые бренды нашего региона: Санта-Бремор, Савушкин продукт, Брестские традиции и др. </w:t>
      </w:r>
    </w:p>
    <w:p w:rsidR="00C80556" w:rsidRPr="00C80556" w:rsidRDefault="00C80556" w:rsidP="0008517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Предприятия мясомолочной отрасли постоянно расширяют ассортимент и повышают качество выпускаемой продукции, оснащены современным оборудованием, которое соответствует всем мировым стандартам. </w:t>
      </w:r>
    </w:p>
    <w:p w:rsidR="00C80556" w:rsidRPr="00C80556" w:rsidRDefault="00C80556" w:rsidP="0008517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Вместе с тем, учитывая изменение потребностей, конъюнктуры рынка, ужесточение подходов в области качества, предприятия ведут постоянную работу по техническому перевооружению и модернизации производств. Крупнейшими проектами в рамках мероприятий по техническому перевооружению производств, реализованных в области, является модернизация мясомолочной отрасли предприятиями системы ГО «Управляющая компания холдинга «Концерн «Брестмясомолпром».</w:t>
      </w:r>
    </w:p>
    <w:p w:rsidR="008563DC" w:rsidRDefault="008563DC" w:rsidP="0008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80556" w:rsidRPr="00C80556" w:rsidRDefault="00C80556" w:rsidP="0008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color w:val="000000"/>
          <w:sz w:val="30"/>
          <w:szCs w:val="30"/>
        </w:rPr>
        <w:lastRenderedPageBreak/>
        <w:t>В результате проведенных мероприятий производственные мощности по сравнению с 2015 годом выросли по производству сыров на 23 тонны в смену (в настоящее время мощности составляют 110 тонн в смену), цельномолочной продукции – на 220 тонн в смену (1258 тонн в смену), масла животного – на 16 тонн в смену (69 тонн в смену), сухих молочных продуктов – на 50 тонн в смену (105 тонн в смену).</w:t>
      </w:r>
    </w:p>
    <w:p w:rsidR="00C80556" w:rsidRPr="00C80556" w:rsidRDefault="00C80556" w:rsidP="0008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color w:val="000000"/>
          <w:sz w:val="30"/>
          <w:szCs w:val="30"/>
        </w:rPr>
        <w:t>В мясной отрасли проводимые мероприятия по техническому перевооружению, наращиванию производственных мощностей, обновлению ассортимента выпускаемой продукции позволили увеличить производственные мощности по производству колбасных изделий в 1,3 раза.</w:t>
      </w:r>
    </w:p>
    <w:p w:rsidR="00C80556" w:rsidRPr="00C80556" w:rsidRDefault="00C80556" w:rsidP="0008517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color w:val="000000"/>
          <w:sz w:val="30"/>
          <w:szCs w:val="30"/>
        </w:rPr>
        <w:t>В настоящее время мощности мясомолочных предприятий объединения позволяют перерабатывать до 2,2 млн. тонн молока и250 тыс. тонн скота в год.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Кроме того, в 2018 году в г. Жабинка завершен проект «Строительство завода по производству премиксов, суперконцентратов и комбикормов для молодняка сельскохозяйственных животных», реализованный ЗАО «Консул». Создано 46 рабочих мест.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Дальнейшее развитие получила и </w:t>
      </w:r>
      <w:r w:rsidRPr="00C80556">
        <w:rPr>
          <w:rFonts w:ascii="Times New Roman" w:hAnsi="Times New Roman" w:cs="Times New Roman"/>
          <w:b/>
          <w:sz w:val="30"/>
          <w:szCs w:val="30"/>
        </w:rPr>
        <w:t>мебельная промышленность</w:t>
      </w:r>
      <w:r w:rsidRPr="00C80556">
        <w:rPr>
          <w:rFonts w:ascii="Times New Roman" w:hAnsi="Times New Roman" w:cs="Times New Roman"/>
          <w:sz w:val="30"/>
          <w:szCs w:val="30"/>
        </w:rPr>
        <w:t>.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sz w:val="30"/>
          <w:szCs w:val="30"/>
        </w:rPr>
        <w:t xml:space="preserve">На ОАО «Ивацевичдрев» был реализован инвестиционный проект «Организация мебельного и лесопильного производства». Для реализации на внутреннем рынке была создана фирменная торговая сеть магазинов «Мебель «MyStar», которая насчитывает 10 магазинов, все находятся на территории Республики Беларусь.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C80556">
        <w:rPr>
          <w:rFonts w:ascii="Times New Roman" w:hAnsi="Times New Roman" w:cs="Times New Roman"/>
          <w:sz w:val="30"/>
          <w:szCs w:val="30"/>
        </w:rPr>
        <w:t xml:space="preserve">2019 году завершена реализация инвестиционного проекта «Создание производства мебели» ООО «Полиполь Мебель Бел».Инвестиционный договор был подписан с немецкой компанией </w:t>
      </w:r>
      <w:r w:rsidRPr="00C80556">
        <w:rPr>
          <w:rFonts w:ascii="Times New Roman" w:hAnsi="Times New Roman" w:cs="Times New Roman"/>
          <w:sz w:val="30"/>
          <w:szCs w:val="30"/>
          <w:lang w:val="en-US"/>
        </w:rPr>
        <w:t>Polipol</w:t>
      </w:r>
      <w:r w:rsidRPr="00C80556">
        <w:rPr>
          <w:rFonts w:ascii="Times New Roman" w:hAnsi="Times New Roman" w:cs="Times New Roman"/>
          <w:sz w:val="30"/>
          <w:szCs w:val="30"/>
        </w:rPr>
        <w:t xml:space="preserve"> о реализации инвестиционного проекта по созданию мебельного производства в г. Ивацевичи (с дальнейшей реализацией продукции на европейских рынках). Продукция наших предприятий пользуется спросом не только на внутреннем рынке, но и за ее пределами: Россия, Германия, Польша, Казахстан, Франция, Латвия, Литва и др. </w:t>
      </w:r>
    </w:p>
    <w:p w:rsidR="008563DC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Ряд крупных инвестиционных проектов был реализован и на предприятиях легкой промышленности. В г. Барановичи реализован инвестиционный проект «</w:t>
      </w:r>
      <w:r w:rsidRPr="00C80556">
        <w:rPr>
          <w:rFonts w:ascii="Times New Roman" w:hAnsi="Times New Roman" w:cs="Times New Roman"/>
          <w:spacing w:val="-10"/>
          <w:sz w:val="30"/>
          <w:szCs w:val="30"/>
        </w:rPr>
        <w:t>Развитие ОАО «</w:t>
      </w:r>
      <w:r w:rsidRPr="00C80556">
        <w:rPr>
          <w:rFonts w:ascii="Times New Roman" w:hAnsi="Times New Roman" w:cs="Times New Roman"/>
          <w:sz w:val="30"/>
          <w:szCs w:val="30"/>
        </w:rPr>
        <w:t>Барановичское производственное хлопчатобумажное объединение</w:t>
      </w:r>
      <w:r w:rsidRPr="00C80556">
        <w:rPr>
          <w:rFonts w:ascii="Times New Roman" w:hAnsi="Times New Roman" w:cs="Times New Roman"/>
          <w:spacing w:val="-10"/>
          <w:sz w:val="30"/>
          <w:szCs w:val="30"/>
        </w:rPr>
        <w:t>» в 2012-2015 годах с учетом технического перевооружения производства</w:t>
      </w:r>
      <w:r w:rsidRPr="00C80556">
        <w:rPr>
          <w:rFonts w:ascii="Times New Roman" w:hAnsi="Times New Roman" w:cs="Times New Roman"/>
          <w:sz w:val="30"/>
          <w:szCs w:val="30"/>
        </w:rPr>
        <w:t xml:space="preserve">». Стоимость проекта составила 33,5 млн.евро. </w:t>
      </w:r>
      <w:r w:rsidRPr="00C80556">
        <w:rPr>
          <w:rFonts w:ascii="Times New Roman" w:eastAsia="Calibri" w:hAnsi="Times New Roman" w:cs="Times New Roman"/>
          <w:sz w:val="30"/>
          <w:szCs w:val="30"/>
        </w:rPr>
        <w:t>В результате технического перевооружения</w:t>
      </w:r>
      <w:r w:rsidRPr="00C80556">
        <w:rPr>
          <w:rFonts w:ascii="Times New Roman" w:hAnsi="Times New Roman" w:cs="Times New Roman"/>
          <w:spacing w:val="-10"/>
          <w:sz w:val="30"/>
          <w:szCs w:val="30"/>
        </w:rPr>
        <w:t xml:space="preserve"> приобретены и введены в эксплуатацию 211 единиц оборудования, введен в эксплуатацию собственный энергоисточник «Мини-ТЭЦ».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80556"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 Техническое переоснащение производства позволило выпускать ткани различного назначения шириной 3 и более метров, расширились возможности выпуска х/б и смешанных тканей с различным переплетением, освоены новые виды отделки. Также в 2017 г. реализован инновационный проект «Разработка и внедрение технологии цифровой печати на хлопчатобумажной ткани для постельного белья».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Реализован ряд инновационных проектов на ОАО «ПТО Полесье», в том числе «Развитие производства цельновязанных трикотажных изделий», «Развитие производства фантазийных пряж», «Производство картонных конусов для намотки пряжи». Предприятие продолжает активно развиваться. В настоящее время реализуется инновационный проект «Внедрение инновационной технологии производства новых тканеподобных трикотажных изделий». </w:t>
      </w:r>
    </w:p>
    <w:p w:rsidR="00C80556" w:rsidRPr="00C80556" w:rsidRDefault="00C80556" w:rsidP="000851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В химическом производстве группой компаний «СТиМ» ведется реализация проекта по организации производства эфира канифоли для использования в материалах дорожной разметки.</w:t>
      </w:r>
    </w:p>
    <w:p w:rsidR="00C80556" w:rsidRPr="007A2CB3" w:rsidRDefault="00C80556" w:rsidP="00085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Также завершена реализация таких крупных проектов, как:</w:t>
      </w:r>
    </w:p>
    <w:p w:rsidR="00C80556" w:rsidRPr="007A2CB3" w:rsidRDefault="00C80556" w:rsidP="00085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- Строительство здания шампиньонницы</w:t>
      </w:r>
      <w:r w:rsidR="007A2CB3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7A2CB3">
        <w:rPr>
          <w:rFonts w:ascii="Times New Roman" w:eastAsia="Calibri" w:hAnsi="Times New Roman" w:cs="Times New Roman"/>
          <w:sz w:val="30"/>
          <w:szCs w:val="30"/>
        </w:rPr>
        <w:t>Барановичск</w:t>
      </w:r>
      <w:r w:rsidR="007A2CB3">
        <w:rPr>
          <w:rFonts w:ascii="Times New Roman" w:eastAsia="Calibri" w:hAnsi="Times New Roman" w:cs="Times New Roman"/>
          <w:sz w:val="30"/>
          <w:szCs w:val="30"/>
        </w:rPr>
        <w:t>ом</w:t>
      </w:r>
      <w:r w:rsidRPr="007A2CB3">
        <w:rPr>
          <w:rFonts w:ascii="Times New Roman" w:eastAsia="Calibri" w:hAnsi="Times New Roman" w:cs="Times New Roman"/>
          <w:sz w:val="30"/>
          <w:szCs w:val="30"/>
        </w:rPr>
        <w:t xml:space="preserve"> район</w:t>
      </w:r>
      <w:r w:rsidR="007A2CB3">
        <w:rPr>
          <w:rFonts w:ascii="Times New Roman" w:eastAsia="Calibri" w:hAnsi="Times New Roman" w:cs="Times New Roman"/>
          <w:sz w:val="30"/>
          <w:szCs w:val="30"/>
        </w:rPr>
        <w:t>е</w:t>
      </w:r>
      <w:r w:rsidRPr="007A2CB3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80556" w:rsidRPr="007A2CB3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- Западный обход г. Бреста, 2 очередь</w:t>
      </w:r>
      <w:r w:rsidR="007A2CB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C80556" w:rsidRPr="007A2CB3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- Строительство средней школы с блоком начальных классов в микрорайоне «ЮЗМР-2» в г. Бресте,;</w:t>
      </w:r>
    </w:p>
    <w:p w:rsidR="00C80556" w:rsidRPr="007A2CB3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CB3">
        <w:rPr>
          <w:rFonts w:ascii="Times New Roman" w:eastAsia="Calibri" w:hAnsi="Times New Roman" w:cs="Times New Roman"/>
          <w:sz w:val="30"/>
          <w:szCs w:val="30"/>
        </w:rPr>
        <w:t>- Реконструкция Кобринского путепровода в г. Бресте.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bCs/>
          <w:iCs/>
          <w:sz w:val="30"/>
          <w:szCs w:val="30"/>
        </w:rPr>
        <w:t>Всего з</w:t>
      </w:r>
      <w:r w:rsidRPr="00C80556">
        <w:rPr>
          <w:rFonts w:ascii="Times New Roman" w:eastAsia="Calibri" w:hAnsi="Times New Roman" w:cs="Times New Roman"/>
          <w:sz w:val="30"/>
          <w:szCs w:val="30"/>
        </w:rPr>
        <w:t>а 2016-2019 годы в экономику область привлечено10,0 млрд. рублей инвестиций в основной капитал, темп роста к 2015 году составил 112,0%. От иностранных инвесторов за указанный период в область поступило 234,8 млн. долларов прямых иностранных инвестиций на чистой основе (без учета</w:t>
      </w:r>
      <w:r w:rsidR="008563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задолженности за товары, работы, услуги), в том числе за 2019 год- 61,3 млн. долларов.</w:t>
      </w:r>
    </w:p>
    <w:p w:rsidR="00C80556" w:rsidRPr="00C80556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80556">
        <w:rPr>
          <w:rFonts w:ascii="Times New Roman" w:hAnsi="Times New Roman" w:cs="Times New Roman"/>
          <w:bCs/>
          <w:sz w:val="30"/>
          <w:szCs w:val="30"/>
        </w:rPr>
        <w:t>В области компаниями с иностранным капиталом также успешно реализован ряд проектов.</w:t>
      </w:r>
    </w:p>
    <w:p w:rsidR="00C80556" w:rsidRPr="00C80556" w:rsidRDefault="00C80556" w:rsidP="0008517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В 2016 году</w:t>
      </w:r>
      <w:r w:rsidR="008563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Calibri" w:hAnsi="Times New Roman" w:cs="Times New Roman"/>
          <w:sz w:val="30"/>
          <w:szCs w:val="30"/>
        </w:rPr>
        <w:t>завершен проект по реконструкции завода по переработке отходов животного происхождения в д. Подосье Березовского района Брестской области производственно-торговым унитарным предприятием «САРИЯ». На реализацию направлено 3,8 млн. долларов США, создано 20 новых рабочих мест. В настоящее время это успешно работающее предприятие, которое продолжает реинвестировать прибыль вразвитие производства.</w:t>
      </w:r>
    </w:p>
    <w:p w:rsidR="00C80556" w:rsidRPr="00C80556" w:rsidRDefault="00C80556" w:rsidP="000851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В2017 году СП «КамСил» реализован проект помодернизация производства финишной стадии производства пластин монокремния. (1,6 млн. долл. США). На территории свободной экономической зоны «Брест» компанией ООО «Арлайт и К» реализован проект с </w:t>
      </w:r>
      <w:r w:rsidRPr="00C80556">
        <w:rPr>
          <w:rFonts w:ascii="Times New Roman" w:eastAsia="Calibri" w:hAnsi="Times New Roman" w:cs="Times New Roman"/>
          <w:sz w:val="30"/>
          <w:szCs w:val="30"/>
        </w:rPr>
        <w:lastRenderedPageBreak/>
        <w:t>привлечением прямых китайских инвестиций по производству светодиодов и светодиодной ленты. Общая стоимость проекта составила 1,2 млн. долларов США.</w:t>
      </w:r>
    </w:p>
    <w:p w:rsidR="00C80556" w:rsidRPr="00C80556" w:rsidRDefault="00C80556" w:rsidP="000851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В 2019 году вг.Пинске реализован проект по развитию производства мебели компанией скипрским капиталомИТПУП «Стэнлес».На реализацию направлено более 3,0 млн. долларов США, создано 49 новых рабочих мест.</w:t>
      </w:r>
    </w:p>
    <w:p w:rsidR="00C80556" w:rsidRPr="00C80556" w:rsidRDefault="00C80556" w:rsidP="0008517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На территории Барановичского района предприятиеИООО «Белдан» реализует проект по созданиюагропромышленного предприятия по убою, производству и по переработке беконной свинины, мощностью 80 голов в час, согласно которому планируется освоить 14,3 млн. белорусских рублейи создать 60 новых рабочих мест (годы реализации 2016-2021 гг.).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В настоящее время в области активно развивается </w:t>
      </w:r>
      <w:r w:rsidRPr="00C80556">
        <w:rPr>
          <w:rFonts w:ascii="Times New Roman" w:hAnsi="Times New Roman" w:cs="Times New Roman"/>
          <w:b/>
          <w:sz w:val="30"/>
          <w:szCs w:val="30"/>
        </w:rPr>
        <w:t>ИТ-отрасль</w:t>
      </w:r>
      <w:r w:rsidRPr="00C8055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На территории области функционируют 3 научно-технологических парка: ЗАО «Брестский научно-технологический парк» (г.Брест) (далее – ЗАО «БНТП»), ООО «Технопарк «Полесье» (г.Пинск), ООО «Фермент» (Ляховичский район).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ЗАО «БНТП» – это крупнейший субъект инновационной инфраструктуры и главный бизнес-инкубатор Брестской области. Технопарк аккумулирует инновационно-активные предприятия, способные поднять научную составляющую экономики региона на новый уровень.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На базе технопарка создан уникальный стартап-центр в Бресте, где любой начинающий предприниматель может получить нужное помещение, оборудование, информационные и консультационные услуги, а также содействие в поиске партнеров, получении финансовых ресурсов и может обменяться опытом с другими предпринимателями. </w:t>
      </w:r>
    </w:p>
    <w:p w:rsidR="00C80556" w:rsidRPr="00C80556" w:rsidRDefault="00C80556" w:rsidP="0008517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Брестская область занимает третье место в республике по числу организаций </w:t>
      </w:r>
      <w:r w:rsidRPr="00C80556">
        <w:rPr>
          <w:rFonts w:ascii="Times New Roman" w:eastAsia="Calibri" w:hAnsi="Times New Roman" w:cs="Times New Roman"/>
          <w:b/>
          <w:sz w:val="30"/>
          <w:szCs w:val="30"/>
        </w:rPr>
        <w:t>малого и среднего предпринимательства и индивидуальных предпринимателей</w:t>
      </w:r>
      <w:r w:rsidRPr="00C8055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80556" w:rsidRPr="00C80556" w:rsidRDefault="00C80556" w:rsidP="0008517D">
      <w:pPr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 xml:space="preserve">На долю малого и среднего предпринимательства области приходится четверть объема валовой добавленной стоимости, порядка 37% выручки от реализации товаров, работ, услуг, около 30% занятых в экономике.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Только за 2019 год от субъектов малого и среднего предпринимательства в консолидированный бюджет Брестской области поступило 552,1 млн. рублей, или 33,2% всех поступлений. За последние 5 лет удельный вес налоговых поступлений увеличился на 3,6 п.п. (2014 г.- 29.6%).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Удельный вес малого и среднего предпринимательства в средней численность работников области за этот период вырос на 1,9 п.п. и составил 32,9% (2014 г.- 31%). 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Ежегодно в области регистрируется более 700 новых коммерческих организаций. Только за 2019 год в области зарегистрировано 749 коммерческих организаций, в том числе 115 промышленных.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Активно развивается </w:t>
      </w:r>
      <w:r w:rsidRPr="00C80556">
        <w:rPr>
          <w:rFonts w:ascii="Times New Roman" w:hAnsi="Times New Roman" w:cs="Times New Roman"/>
          <w:b/>
          <w:sz w:val="30"/>
          <w:szCs w:val="30"/>
        </w:rPr>
        <w:t>внешняя торговля</w:t>
      </w:r>
      <w:r w:rsidRPr="00C80556">
        <w:rPr>
          <w:rFonts w:ascii="Times New Roman" w:hAnsi="Times New Roman" w:cs="Times New Roman"/>
          <w:sz w:val="30"/>
          <w:szCs w:val="30"/>
        </w:rPr>
        <w:t xml:space="preserve">. Экспорт товаров с начала пятилетки </w:t>
      </w:r>
      <w:r w:rsidRPr="00C80556">
        <w:rPr>
          <w:rFonts w:ascii="Times New Roman" w:hAnsi="Times New Roman" w:cs="Times New Roman"/>
          <w:b/>
          <w:sz w:val="30"/>
          <w:szCs w:val="30"/>
        </w:rPr>
        <w:t>вырос</w:t>
      </w:r>
      <w:r w:rsidRPr="00C80556">
        <w:rPr>
          <w:rFonts w:ascii="Times New Roman" w:hAnsi="Times New Roman" w:cs="Times New Roman"/>
          <w:sz w:val="30"/>
          <w:szCs w:val="30"/>
        </w:rPr>
        <w:t xml:space="preserve"> по области </w:t>
      </w:r>
      <w:r w:rsidRPr="00C80556">
        <w:rPr>
          <w:rFonts w:ascii="Times New Roman" w:hAnsi="Times New Roman" w:cs="Times New Roman"/>
          <w:b/>
          <w:sz w:val="30"/>
          <w:szCs w:val="30"/>
        </w:rPr>
        <w:t xml:space="preserve">более чем в 1,5 раза, услуг – в1,6 раза. 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Предприятиями-экспортерами области осуществлялась планомерная страновая диверсификация экспорта. 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На 7,8 п.п. сократилась доля экспорта в страны ЕАЭС. В страны Евросоюза экспорт вырос более чем в 2 раза. 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Экспорт в Китай увеличился с 5,7 млн. долл. США в 2015 году до 38,9 млн. долл. США в 2019 году.</w:t>
      </w:r>
    </w:p>
    <w:p w:rsidR="00C80556" w:rsidRPr="00C80556" w:rsidRDefault="00C80556" w:rsidP="0008517D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Если в 2015 году продукция предприятий области поставлялась в 82 страны, то в 2019 уже в 106 стран. Были открыты и освоены такие новые рынки как: Ангола, Бахрейн, Доминиканская Республика, Камбоджа, Либерия, Ливан, Лихтенштейн, Люксембург, Марокко. Мьянма, Мозамбик, Пакистан, Перу, Эквадор и другие страны Африки, Америки и Ближнего Востока.</w:t>
      </w:r>
    </w:p>
    <w:p w:rsidR="00C80556" w:rsidRPr="008563DC" w:rsidRDefault="00C80556" w:rsidP="008563DC">
      <w:pPr>
        <w:tabs>
          <w:tab w:val="num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 xml:space="preserve">Кроме того, область традиционно удерживает 1 место в республике по объемам экспорта сельхозпродукции и продуктов питания. </w:t>
      </w:r>
    </w:p>
    <w:p w:rsidR="00C64BBF" w:rsidRPr="00C80556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Сельское хозяйство</w:t>
      </w:r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последние пять лет удельный вес Брестской области в республиканском объеме валовой продукции сельского хозяйства </w:t>
      </w:r>
      <w:r w:rsidRPr="00C64B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(во всех категориях хозяйств)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увеличился с 18,5% </w:t>
      </w:r>
      <w:r w:rsidRPr="00C64B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2015 году)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19,8% </w:t>
      </w:r>
      <w:r w:rsidRPr="00C64B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2019 году).</w:t>
      </w:r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64BBF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В этот период сельхозорганизации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области с</w:t>
      </w:r>
      <w:r w:rsidRPr="00C64BBF">
        <w:rPr>
          <w:rFonts w:ascii="Times New Roman" w:eastAsia="Calibri" w:hAnsi="Times New Roman" w:cs="Times New Roman"/>
          <w:iCs/>
          <w:sz w:val="30"/>
          <w:szCs w:val="30"/>
        </w:rPr>
        <w:t xml:space="preserve"> 2017 года </w:t>
      </w:r>
      <w:r w:rsidRPr="007A2CB3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на первом месте в республике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 продуктивности дойного стада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(в 2019 году область первая в республике перешагнула шеститысячный рубеж по среднему удою молока на корову, надоив в среднем по 6132 кг молока),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2018 года – по среднесуточным привесам крупного рогатого скота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2016, 2017 и 2019 годах – по привесам свиней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C64BBF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В 2019 году с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ельхозорганизации области произвели почти четверть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(24,5% или 1,7 млн. 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республиканского объема молока, 17,4%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(299,8 тыс. 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продукции выращивания скота и птицы, 18,1%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r w:rsidRPr="00C64BB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1258,5 тыс. 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зерновых и зернобобовых культур, 19,5%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(109,0 тыс. 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рапса, 16,4% </w:t>
      </w:r>
      <w:r w:rsidRPr="00C64B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(786,9 тыс. тонн)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сахарной свеклы.</w:t>
      </w:r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Область самодостаточна не только в продовольственном отношении, но и экспортоориентирована. За 2019 год сельхозпродукции и продуктов питания экспортировано на сумму 1392,7 млн. долл. США, что на 10,9% больше, чем в 2018 году.</w:t>
      </w:r>
    </w:p>
    <w:p w:rsidR="00C64BBF" w:rsidRPr="00C64BBF" w:rsidRDefault="00C64BBF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республиканском соревновании за достижение высоких показателей эффективности работы в области сельского хозяйства Брестская область была признана победителем в 2016 и 2017 годах.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марте 2020 г. за значительный вклад в развитие сельскохозяйственной отрасли и достижение высоких производственных показателей распоряжением Президента Республики Беларусь труженикам агропромышленного комплекса Брестской области объявлена Благодарность. </w:t>
      </w:r>
    </w:p>
    <w:p w:rsidR="00C64BBF" w:rsidRPr="00C64BBF" w:rsidRDefault="00C64BBF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результаты достигнуты</w:t>
      </w:r>
      <w:r w:rsidR="00881AE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прежде всего</w:t>
      </w:r>
      <w:r w:rsidR="00881AE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счет системной работы по техническому и технологическому обновлению сельхозпроизводства, начатой благодаря реализации государственных программ возрождения и развития села.</w:t>
      </w:r>
    </w:p>
    <w:p w:rsidR="00FE578D" w:rsidRPr="007A2CB3" w:rsidRDefault="00C64BBF" w:rsidP="007A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со сложившимися в последние годы ан</w:t>
      </w:r>
      <w:r w:rsidR="00881AE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64B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мальными засушливыми погодными условиями областью принимаются меры по расширению посевов озимых культур, также активно осваиваются новые перспективные теплолюбивые культуры (</w:t>
      </w:r>
      <w:r w:rsidRPr="00C64B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голубика, смородина, земляника садовая, малина, клюква, рябина, орехи, виноград, арб</w:t>
      </w:r>
      <w:r w:rsidR="007A2CB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узы, дыни и зеленные культуры).</w:t>
      </w:r>
    </w:p>
    <w:p w:rsidR="00FE578D" w:rsidRPr="00C80556" w:rsidRDefault="00FE578D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Брестская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входит в тройку лидеров </w:t>
      </w:r>
      <w:r w:rsidRPr="007A2CB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по объемам ввода жилья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республике.</w:t>
      </w:r>
    </w:p>
    <w:p w:rsidR="00FE578D" w:rsidRPr="00881AE4" w:rsidRDefault="00FE578D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>Дополнительным импульсом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развития Брестчины стали проекты, реализованные в рамках подготовки </w:t>
      </w:r>
      <w:r w:rsidRPr="007A2CB3">
        <w:rPr>
          <w:rFonts w:ascii="Times New Roman" w:eastAsia="Times New Roman" w:hAnsi="Times New Roman" w:cs="Times New Roman"/>
          <w:b/>
          <w:sz w:val="30"/>
          <w:szCs w:val="30"/>
        </w:rPr>
        <w:t>областного центра к 1000-летнему юбилею.</w:t>
      </w:r>
      <w:r w:rsidR="0085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Введены в эксплуатацию более 20 объектов, наиболее значимые из которых – Западный обход, Кобринский путепровод, театр кукол и многие другие.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Всего на подготовку города к юбилею было направл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 xml:space="preserve">ено без малого 400 млн.рублей. </w:t>
      </w:r>
    </w:p>
    <w:p w:rsidR="00AB12A0" w:rsidRPr="00C80556" w:rsidRDefault="00AB12A0" w:rsidP="000851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защита</w:t>
      </w:r>
    </w:p>
    <w:p w:rsidR="00AB12A0" w:rsidRPr="00C80556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Calibri" w:hAnsi="Times New Roman" w:cs="Times New Roman"/>
          <w:sz w:val="30"/>
          <w:szCs w:val="30"/>
        </w:rPr>
        <w:t>На рынке труда области сохраняется стабильная и контролируемая ситуация.</w:t>
      </w:r>
    </w:p>
    <w:p w:rsidR="00AB12A0" w:rsidRPr="00AB12A0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последние годы отмечается замедление падения численности занятого населения. Так, если в 2015 году численность занятых в экономике сократилась на 12,0 тыс. человек, то в 2018 году только на 2,2</w:t>
      </w:r>
      <w:r w:rsidRPr="00AB12A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человек.</w:t>
      </w:r>
    </w:p>
    <w:p w:rsidR="00AB12A0" w:rsidRPr="00AB12A0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содействии службы занятости ежегодно трудоустраивается более 20,0 тыс. человек. В 2015-2019 годах за счет средств бюджета государственного внебюджетного фонда социальной защиты населения Республики Беларусь на обучение направлено 7,4 тыс. безработных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граждан, 1,3 тыс. безработных оказана финансовая поддержка в виде безвозвратной субсидии для организации предпринимательской, ремесленной деятельности, деятельности по оказанию услуг в сфере агроэкотуризма, 31,2 тыс. человек направлено на оплачиваемые общественные работы, в свободное от учебы время для 23,5 тыс. учащейся и студенческой молодежи была организована временная трудовая занятость.</w:t>
      </w:r>
    </w:p>
    <w:p w:rsidR="00AB12A0" w:rsidRPr="00AB12A0" w:rsidRDefault="00AB12A0" w:rsidP="00085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в Брестской области обеспечивается выполнение заданий по трудоустройству граждан на вновь созданные рабочие места за счет создания новых производств и предприятий, в 2016-2019 годах на такие места трудоустроено 28,6 тыс. человек.</w:t>
      </w:r>
    </w:p>
    <w:p w:rsidR="00AB12A0" w:rsidRPr="00AB12A0" w:rsidRDefault="00AB12A0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Предпринимаемые меры способствуют вовлечению в экономическую деятельность незанятого населения, снижению числа официально зарегистрированных безработных. </w:t>
      </w:r>
    </w:p>
    <w:p w:rsidR="00AB12A0" w:rsidRPr="00AB12A0" w:rsidRDefault="00AB12A0" w:rsidP="0008517D">
      <w:pPr>
        <w:widowControl w:val="0"/>
        <w:tabs>
          <w:tab w:val="left" w:pos="-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В Брестской области численность зарегистрированных безработных сократилась с 6,6 тыс. человек на 01.01.2016 до 1,4 тыс. человек на 01.01.2020, уровень зарегистрированной безработицы с 1,1% до 0,2% соответственно.</w:t>
      </w:r>
    </w:p>
    <w:p w:rsidR="00AB12A0" w:rsidRPr="00AB12A0" w:rsidRDefault="00AB12A0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январе-марте 2020 г. </w:t>
      </w:r>
      <w:r w:rsidRPr="007A2C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среднемесячная заработная плата</w:t>
      </w:r>
      <w:r w:rsidRPr="00AB12A0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978,1 рубля, увеличилась по сравнению с аналогичным периодом 2015 г. на 84,1%, реальная – на 30,9%.</w:t>
      </w:r>
    </w:p>
    <w:p w:rsidR="00AB12A0" w:rsidRPr="00AB12A0" w:rsidRDefault="00AB12A0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других областей республики по уровню заработной платы</w:t>
      </w:r>
      <w:r w:rsidR="00856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Брестская область 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переместилась с последнего места в 2015 году на третье в 2020г.</w:t>
      </w:r>
    </w:p>
    <w:p w:rsidR="00C80556" w:rsidRPr="00C80556" w:rsidRDefault="00AB12A0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Среднемесячная заработная плата работников бюджетных</w:t>
      </w:r>
      <w:r w:rsidR="00856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организаций </w:t>
      </w:r>
      <w:r w:rsidRPr="00AB12A0">
        <w:rPr>
          <w:rFonts w:ascii="Times New Roman" w:eastAsia="Calibri" w:hAnsi="Times New Roman" w:cs="Times New Roman"/>
          <w:sz w:val="30"/>
          <w:szCs w:val="30"/>
        </w:rPr>
        <w:t xml:space="preserve">Брестской области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январе-марте 2020 г. составила </w:t>
      </w:r>
      <w:r w:rsidRPr="00AB12A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848,6 рубля, увеличилась по сравнению с аналогичным периодом 2015 г. на 86,7%, реальн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ая – на 32,8%.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 и туризм</w:t>
      </w:r>
    </w:p>
    <w:p w:rsidR="00C80556" w:rsidRPr="00C80556" w:rsidRDefault="00C80556" w:rsidP="000851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bCs/>
          <w:color w:val="000000"/>
          <w:sz w:val="30"/>
          <w:szCs w:val="30"/>
        </w:rPr>
        <w:t>В списочные составы национальных и сборных команд по видам спорта Республики Беларусь включены 593 спортсмена Брестской области</w:t>
      </w:r>
      <w:r w:rsidR="00CD3D59">
        <w:rPr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8563D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bCs/>
          <w:color w:val="000000"/>
          <w:sz w:val="30"/>
          <w:szCs w:val="30"/>
        </w:rPr>
        <w:t>из них национальная команда – 186 спортсменов.</w:t>
      </w:r>
    </w:p>
    <w:p w:rsidR="00C80556" w:rsidRPr="00C80556" w:rsidRDefault="00C80556" w:rsidP="00085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556">
        <w:rPr>
          <w:rFonts w:ascii="Times New Roman" w:hAnsi="Times New Roman" w:cs="Times New Roman"/>
          <w:color w:val="000000"/>
          <w:sz w:val="30"/>
          <w:szCs w:val="30"/>
        </w:rPr>
        <w:tab/>
        <w:t>На официальных международных соревнованиях спортсменами области завоёвано 70 медалей(21 золотых, 24 серебряных и 25 бронзовых). По олимпийским видам спорта</w:t>
      </w:r>
      <w:r w:rsidR="00CD3D59">
        <w:rPr>
          <w:rFonts w:ascii="Times New Roman" w:hAnsi="Times New Roman" w:cs="Times New Roman"/>
          <w:color w:val="000000"/>
          <w:sz w:val="30"/>
          <w:szCs w:val="30"/>
        </w:rPr>
        <w:t xml:space="preserve"> -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60 медалей</w:t>
      </w:r>
      <w:r w:rsidR="00CD3D59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8563D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Наибольшее количество медалей и зачетных очков завоевано по легкой атлетике, тяжелой атлетика, гребле на байдарках и каноэ.</w:t>
      </w:r>
    </w:p>
    <w:p w:rsidR="00C80556" w:rsidRPr="00C80556" w:rsidRDefault="00C80556" w:rsidP="0008517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ab/>
        <w:t>Спортсменами области завоевано 11 лицензий на право участия в Олимпийских играх 2020 г.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>На вторых Европейских играх23 спортсмен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>ы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>принесли в копилку</w:t>
      </w:r>
      <w:r w:rsidR="00CD3D59">
        <w:rPr>
          <w:rFonts w:ascii="Times New Roman" w:eastAsia="Times New Roman" w:hAnsi="Times New Roman" w:cs="Times New Roman"/>
          <w:sz w:val="30"/>
          <w:szCs w:val="30"/>
        </w:rPr>
        <w:t>15 медалей, в том числе 3 золотых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80556" w:rsidRPr="00CD3D59" w:rsidRDefault="00C80556" w:rsidP="0008517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lastRenderedPageBreak/>
        <w:tab/>
      </w:r>
      <w:r w:rsidRPr="00C80556">
        <w:rPr>
          <w:rFonts w:ascii="Times New Roman" w:eastAsia="Times New Roman" w:hAnsi="Times New Roman" w:cs="Times New Roman"/>
          <w:color w:val="000000"/>
          <w:sz w:val="30"/>
          <w:szCs w:val="30"/>
        </w:rPr>
        <w:t>На чемпионатах Республики Беларусь завоевано 327 медалей, из них 127 золотых, 104 серебряных, 96 бронзовых</w:t>
      </w:r>
      <w:r w:rsidR="00CD3D5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C80556" w:rsidRP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Футбольный клуб «Динамо-Брест» </w:t>
      </w:r>
      <w:r w:rsidR="00CD3D59">
        <w:rPr>
          <w:rFonts w:ascii="Times New Roman" w:eastAsia="Times New Roman" w:hAnsi="Times New Roman" w:cs="Times New Roman"/>
          <w:sz w:val="30"/>
          <w:szCs w:val="30"/>
        </w:rPr>
        <w:t xml:space="preserve">в 2020 году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впервые 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>стал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чемпион</w:t>
      </w:r>
      <w:r w:rsidR="007A2CB3">
        <w:rPr>
          <w:rFonts w:ascii="Times New Roman" w:eastAsia="Times New Roman" w:hAnsi="Times New Roman" w:cs="Times New Roman"/>
          <w:sz w:val="30"/>
          <w:szCs w:val="30"/>
        </w:rPr>
        <w:t xml:space="preserve">ом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Республики Беларусь по футболу в высшей лиге.</w:t>
      </w:r>
    </w:p>
    <w:p w:rsidR="00C80556" w:rsidRDefault="00C80556" w:rsidP="00085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Брестский гандбольный клуб им. А.П.Мешкова стал чемпионом Республики Беларусь и завоевал кубок Республики Беларусь по гандболу среди мужских команд. </w:t>
      </w:r>
    </w:p>
    <w:p w:rsidR="00B71078" w:rsidRPr="00C80556" w:rsidRDefault="00B71078" w:rsidP="007A2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2CB3">
        <w:rPr>
          <w:rFonts w:ascii="Times New Roman" w:eastAsia="Times New Roman" w:hAnsi="Times New Roman" w:cs="Times New Roman"/>
          <w:sz w:val="30"/>
          <w:szCs w:val="30"/>
        </w:rPr>
        <w:t xml:space="preserve">Сфера туризма в Брестской области имеет устойчивый рост и значительный потенциал для развития. За последние 5 лет в области сформировалась современная конкурентоспособная туристическая индустрия, которая содействует развитию региональной экономики. Экспорт туристических услуг в 2019 году составил 16,8 млн долларов США, в 2015 году – 12 млн долларов США. </w:t>
      </w:r>
    </w:p>
    <w:p w:rsidR="00B71078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>С внедрением безвизового порядка пребывания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иностранный туристический поток на приграничных с Польшей территориях вырос боле чем в два раза, загрузка гостиниц увеличилась на 10 %. За два года (2018-2019) по без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визу в область приехало более 100 тысяч иностранных гостей из 75 стран. </w:t>
      </w:r>
    </w:p>
    <w:p w:rsidR="00B71078" w:rsidRPr="007A2CB3" w:rsidRDefault="00B71078" w:rsidP="007A2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2CB3">
        <w:rPr>
          <w:rFonts w:ascii="Times New Roman" w:eastAsia="Times New Roman" w:hAnsi="Times New Roman" w:cs="Times New Roman"/>
          <w:sz w:val="30"/>
          <w:szCs w:val="30"/>
        </w:rPr>
        <w:t xml:space="preserve">В районах, входящих в безвизовую зону “Брест” открыто 394 новых объекта туристической индустрии, в том числе: 299 торговых объектов, 13 объектов размещения, 82 объекта общественного питания (кафе и рестораны). В сфере туристических услуг на вновь созданных предприятиях создано 1 101 рабочих мест. 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Повысилась инвестиционная привлекательность области, активность малого и среднего бизнеса в развитии инфраструктуры. Открыто 394 новых объекта туристической индустрии, в том числе гостиница 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Hampton</w:t>
      </w:r>
      <w:r w:rsidRPr="00C80556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на 120 номеров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крупной международной гостиничной сети </w:t>
      </w:r>
      <w:r w:rsidRPr="00C80556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Hilton</w:t>
      </w:r>
      <w:r w:rsidRPr="00C80556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 </w:t>
      </w:r>
      <w:r w:rsidRPr="00C80556">
        <w:rPr>
          <w:rFonts w:ascii="Times New Roman" w:eastAsia="Times New Roman" w:hAnsi="Times New Roman" w:cs="Times New Roman"/>
          <w:bCs/>
          <w:sz w:val="30"/>
          <w:szCs w:val="30"/>
        </w:rPr>
        <w:t xml:space="preserve">Активизировалось международное сотрудничество. Реализуются 16 проектов международной технической помощи ПРООН, программ «Польша-Беларусь-Украина» и «Беларусь-Украина», объем привлеченных средств составил порядка 9 млн долларов США. </w:t>
      </w:r>
    </w:p>
    <w:p w:rsidR="00B71078" w:rsidRDefault="00C80556" w:rsidP="000851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0556">
        <w:rPr>
          <w:rFonts w:ascii="Times New Roman" w:eastAsia="Times New Roman" w:hAnsi="Times New Roman" w:cs="Times New Roman"/>
          <w:sz w:val="30"/>
          <w:szCs w:val="30"/>
        </w:rPr>
        <w:t xml:space="preserve">Наиболее успешными проектами за последние годы стали оздоровительный туризм и агроэкотуризм. </w:t>
      </w:r>
    </w:p>
    <w:p w:rsidR="00C80556" w:rsidRPr="007A2CB3" w:rsidRDefault="00B71078" w:rsidP="007A2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2CB3">
        <w:rPr>
          <w:rFonts w:ascii="Times New Roman" w:eastAsia="Times New Roman" w:hAnsi="Times New Roman" w:cs="Times New Roman"/>
          <w:sz w:val="30"/>
          <w:szCs w:val="30"/>
        </w:rPr>
        <w:t xml:space="preserve">В агроэкотуризме число субъектов (423) увеличилось на 35 усадеб, что на 65 субъектов больше, чем в 2015 г. Поток агротуристов вырос на 3 800 человек (на 4,9 %) и составил 81,2 тыс. человек, в том числе 9,9 тысячи – это иностранные граждане, выручка увеличилась на 740,9 тыс. рублей (на 25 %) и составила 3,7 млн рублей. В 2018 г. услугами агроусадеб воспользовались 77 445 агроэкотуристов, что на 17 177 человек больше, чем в 2017 г. и на 35 828 человек больше, чем в 2015 г. </w:t>
      </w:r>
    </w:p>
    <w:p w:rsidR="00C80556" w:rsidRPr="007A2CB3" w:rsidRDefault="00E2211E" w:rsidP="007A2C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За последние годыв отрасли введены следующие объекты: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спортивный комплекс со спортивными тренажерным зал</w:t>
      </w:r>
      <w:r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</w:rPr>
        <w:t>на базе КУП ДРОЦ «Свитанок»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C80556">
        <w:rPr>
          <w:rFonts w:ascii="Times New Roman" w:eastAsia="Times New Roman" w:hAnsi="Times New Roman" w:cs="Times New Roman"/>
          <w:sz w:val="30"/>
          <w:szCs w:val="30"/>
        </w:rPr>
        <w:t>Пинском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pacing w:val="-6"/>
          <w:sz w:val="30"/>
          <w:szCs w:val="30"/>
        </w:rPr>
        <w:t>футбольный манеж в г. Бресте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,</w:t>
      </w:r>
      <w:r w:rsidR="008563D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>общежити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C80556">
        <w:rPr>
          <w:rFonts w:ascii="Times New Roman" w:hAnsi="Times New Roman" w:cs="Times New Roman"/>
          <w:color w:val="000000"/>
          <w:sz w:val="30"/>
          <w:szCs w:val="30"/>
        </w:rPr>
        <w:t xml:space="preserve"> на 200 мест в УО «Брестское государственное областное училище олимпийского резерва»в г. Бресте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8563D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>реконструирована лыжероллерная трасса</w:t>
      </w:r>
      <w:r w:rsidR="008563DC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в</w:t>
      </w:r>
      <w:r w:rsidR="008563DC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color w:val="000000"/>
          <w:spacing w:val="-6"/>
          <w:sz w:val="30"/>
          <w:szCs w:val="30"/>
        </w:rPr>
        <w:t>аг. Мир Барановичского района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.</w:t>
      </w:r>
      <w:r w:rsidR="008563DC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В настоящее время на территории Брестской области реализуется строительство двух инвестиционных проектов: туристического комплекса “ЭкоБел “Колбовичи” в районе д.Колбовичи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Барановичского района Брестской области” СООО “ЭкоБелКолбовичи” (срок реализации 2020 год), оздоровительно-туристического комплекса в районе д.Большие</w:t>
      </w:r>
      <w:r w:rsidR="008563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1078" w:rsidRPr="007A2CB3">
        <w:rPr>
          <w:rFonts w:ascii="Times New Roman" w:eastAsia="Times New Roman" w:hAnsi="Times New Roman" w:cs="Times New Roman"/>
          <w:sz w:val="30"/>
          <w:szCs w:val="30"/>
        </w:rPr>
        <w:t>Косичи” ООО “Про Ви” (срок реализации 2020 год).</w:t>
      </w:r>
    </w:p>
    <w:p w:rsidR="00D66113" w:rsidRPr="00E2211E" w:rsidRDefault="00C80556" w:rsidP="0008517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2211E">
        <w:rPr>
          <w:rFonts w:ascii="Times New Roman" w:hAnsi="Times New Roman" w:cs="Times New Roman"/>
          <w:b/>
          <w:sz w:val="30"/>
          <w:szCs w:val="30"/>
        </w:rPr>
        <w:t>Образование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2015-2019 гг. в области</w:t>
      </w:r>
      <w:r w:rsidR="00856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введено в эксплуатацию 5детских садов, 2 школы, 2 учебно-педагогических комплекса сад-школа, выполнено строительство пристроек необходимых помещений к 3 школам и 1 детскому саду общей вместимостью на 2670ученических мест, 1540дошкольных мест.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Введены в эксплуатацию20 одноквартирных жилых домов для приемных семей (для семей, воспитывающих детей-сирот и детей, оставшихся без попечения родителей). 4 таких дома будет построено в 2020году.</w:t>
      </w:r>
    </w:p>
    <w:p w:rsidR="00C80556" w:rsidRPr="00C80556" w:rsidRDefault="00C80556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Вмае</w:t>
      </w:r>
      <w:smartTag w:uri="urn:schemas-microsoft-com:office:smarttags" w:element="metricconverter">
        <w:smartTagPr>
          <w:attr w:name="ProductID" w:val="2020 г"/>
        </w:smartTagPr>
        <w:r w:rsidRPr="00C8055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2020 г</w:t>
        </w:r>
      </w:smartTag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.будет завершена реконструкция и введен в эксплуатацию детский сад в д. Скоки Брестского района (вместимость на 175 мест, пристройка на 160 мест).Также будут построены 2 спортивные залы для учащихся (ГУО«Залесская средняя школа» Кобринского района и ГУО «Стытычевская с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редняя школа» Пинского района).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Продолжается работа по совершенствованию материально технической базы учреждений образования.</w:t>
      </w:r>
      <w:r w:rsidR="00856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055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Брестской области увеличилось количество используемых в образовательном процессе компьютеров, которые имеют доступ в Интернет, (в 2020 – 98,2% в 2015 - 72,2%). Информационно-коммуникационные технологии в образовательном процессе используют 95,2% педагогов (в 2015/2016 учебном году – 75,4%).</w:t>
      </w:r>
    </w:p>
    <w:p w:rsidR="00C80556" w:rsidRPr="00C80556" w:rsidRDefault="00C80556" w:rsidP="0008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областного бюджета в 2015 – 2019 годы в учреждения общего среднего образования поставлено 11 компьютерных классов на 120 рабочих мест.</w:t>
      </w:r>
    </w:p>
    <w:p w:rsidR="00C80556" w:rsidRPr="007A2CB3" w:rsidRDefault="00E2211E" w:rsidP="007A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Растет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количество выпускников учреждений общего среднего образования, награжденных золотой и серебряной медалями. В 2019 году награждено 7 % от общего количе</w:t>
      </w:r>
      <w:r w:rsidR="007A2C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 выпускников (2015 – 6,4%).</w:t>
      </w:r>
    </w:p>
    <w:p w:rsidR="00D7608F" w:rsidRPr="007A2CB3" w:rsidRDefault="00E2211E" w:rsidP="007A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организации</w:t>
      </w:r>
      <w:r w:rsidR="00856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качественной профориентационной работы</w:t>
      </w:r>
      <w:r w:rsidR="00856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>2019/2020 учебном году в 43 учреждениях общего среднего образования (16 районов области)открыто 55 классов (групп) аграрной направленности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80556" w:rsidRPr="00C80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которых обуча</w:t>
      </w:r>
      <w:r w:rsidR="007A2CB3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389 учащихся Х-Х1 классов.</w:t>
      </w:r>
    </w:p>
    <w:p w:rsidR="00C80556" w:rsidRPr="00E2211E" w:rsidRDefault="00C80556" w:rsidP="0008517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2211E">
        <w:rPr>
          <w:rFonts w:ascii="Times New Roman" w:hAnsi="Times New Roman" w:cs="Times New Roman"/>
          <w:b/>
          <w:sz w:val="30"/>
          <w:szCs w:val="30"/>
        </w:rPr>
        <w:t>Здравоохранение</w:t>
      </w:r>
    </w:p>
    <w:p w:rsidR="0008517D" w:rsidRDefault="00E2211E" w:rsidP="007A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отрасли здравоохранения продолжена работа по обеспечению доступности и </w:t>
      </w:r>
      <w:r w:rsidR="006306CB">
        <w:rPr>
          <w:rFonts w:ascii="Times New Roman" w:hAnsi="Times New Roman" w:cs="Times New Roman"/>
          <w:sz w:val="30"/>
          <w:szCs w:val="30"/>
        </w:rPr>
        <w:t>качества оказания медицинских услуг и укреплению материально-технической базы. За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="006306CB">
        <w:rPr>
          <w:rFonts w:ascii="Times New Roman" w:hAnsi="Times New Roman" w:cs="Times New Roman"/>
          <w:sz w:val="30"/>
          <w:szCs w:val="30"/>
        </w:rPr>
        <w:t>последние годы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введены</w:t>
      </w:r>
      <w:r w:rsidR="006306CB">
        <w:rPr>
          <w:rFonts w:ascii="Times New Roman" w:hAnsi="Times New Roman" w:cs="Times New Roman"/>
          <w:sz w:val="30"/>
          <w:szCs w:val="30"/>
        </w:rPr>
        <w:t xml:space="preserve"> в эксплуатацию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="00D74C33">
        <w:rPr>
          <w:rFonts w:ascii="Times New Roman" w:hAnsi="Times New Roman" w:cs="Times New Roman"/>
          <w:sz w:val="30"/>
          <w:szCs w:val="30"/>
        </w:rPr>
        <w:t>х</w:t>
      </w:r>
      <w:r w:rsidR="00C80556" w:rsidRPr="00C80556">
        <w:rPr>
          <w:rFonts w:ascii="Times New Roman" w:hAnsi="Times New Roman" w:cs="Times New Roman"/>
          <w:sz w:val="30"/>
          <w:szCs w:val="30"/>
        </w:rPr>
        <w:t>ирургический корпус Брестского областного онкологического диспансера;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Style w:val="FontStyle15"/>
          <w:sz w:val="30"/>
          <w:szCs w:val="30"/>
        </w:rPr>
        <w:t>инфекционн</w:t>
      </w:r>
      <w:r w:rsidR="00E21159">
        <w:rPr>
          <w:rStyle w:val="FontStyle15"/>
          <w:sz w:val="30"/>
          <w:szCs w:val="30"/>
        </w:rPr>
        <w:t>ый</w:t>
      </w:r>
      <w:r w:rsidR="00C80556" w:rsidRPr="00C80556">
        <w:rPr>
          <w:rStyle w:val="FontStyle15"/>
          <w:sz w:val="30"/>
          <w:szCs w:val="30"/>
        </w:rPr>
        <w:t xml:space="preserve"> корпус</w:t>
      </w:r>
      <w:r w:rsidR="008563DC">
        <w:rPr>
          <w:rStyle w:val="FontStyle15"/>
          <w:sz w:val="30"/>
          <w:szCs w:val="30"/>
        </w:rPr>
        <w:t xml:space="preserve"> </w:t>
      </w:r>
      <w:r w:rsidR="00C80556" w:rsidRPr="00C80556">
        <w:rPr>
          <w:rStyle w:val="FontStyle15"/>
          <w:sz w:val="30"/>
          <w:szCs w:val="30"/>
        </w:rPr>
        <w:t>Брестской областной больницы в г. Бресте;</w:t>
      </w:r>
      <w:r w:rsidR="008563DC">
        <w:rPr>
          <w:rStyle w:val="FontStyle15"/>
          <w:sz w:val="30"/>
          <w:szCs w:val="30"/>
        </w:rPr>
        <w:t xml:space="preserve"> </w:t>
      </w:r>
      <w:r w:rsidR="00E21159">
        <w:rPr>
          <w:rFonts w:ascii="Times New Roman" w:hAnsi="Times New Roman" w:cs="Times New Roman"/>
          <w:sz w:val="30"/>
          <w:szCs w:val="30"/>
        </w:rPr>
        <w:t>н</w:t>
      </w:r>
      <w:r w:rsidR="00E21159" w:rsidRPr="00C80556">
        <w:rPr>
          <w:rFonts w:ascii="Times New Roman" w:hAnsi="Times New Roman" w:cs="Times New Roman"/>
          <w:sz w:val="30"/>
          <w:szCs w:val="30"/>
        </w:rPr>
        <w:t>еврологическое отделение на 60 мест УЗ «Пружанская ЦРБ»;Станция скорой медицинской помощи в юго-западной части г</w:t>
      </w:r>
      <w:r w:rsidR="0008517D">
        <w:rPr>
          <w:rFonts w:ascii="Times New Roman" w:hAnsi="Times New Roman" w:cs="Times New Roman"/>
          <w:sz w:val="30"/>
          <w:szCs w:val="30"/>
        </w:rPr>
        <w:t>.Бреста</w:t>
      </w:r>
      <w:r w:rsidR="00E21159" w:rsidRPr="00C80556">
        <w:rPr>
          <w:rFonts w:ascii="Times New Roman" w:hAnsi="Times New Roman" w:cs="Times New Roman"/>
          <w:sz w:val="30"/>
          <w:szCs w:val="30"/>
        </w:rPr>
        <w:t>;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="0008517D">
        <w:rPr>
          <w:rFonts w:ascii="Times New Roman" w:hAnsi="Times New Roman" w:cs="Times New Roman"/>
          <w:sz w:val="30"/>
          <w:szCs w:val="30"/>
        </w:rPr>
        <w:t>п</w:t>
      </w:r>
      <w:r w:rsidR="0008517D" w:rsidRPr="00C80556">
        <w:rPr>
          <w:rFonts w:ascii="Times New Roman" w:hAnsi="Times New Roman" w:cs="Times New Roman"/>
          <w:sz w:val="30"/>
          <w:szCs w:val="30"/>
        </w:rPr>
        <w:t xml:space="preserve">ристройка к приемному отделению </w:t>
      </w:r>
      <w:r w:rsidR="0008517D">
        <w:rPr>
          <w:rFonts w:ascii="Times New Roman" w:hAnsi="Times New Roman" w:cs="Times New Roman"/>
          <w:sz w:val="30"/>
          <w:szCs w:val="30"/>
        </w:rPr>
        <w:t>УЗ</w:t>
      </w:r>
      <w:r w:rsidR="0008517D" w:rsidRPr="00C80556">
        <w:rPr>
          <w:rFonts w:ascii="Times New Roman" w:hAnsi="Times New Roman" w:cs="Times New Roman"/>
          <w:sz w:val="30"/>
          <w:szCs w:val="30"/>
        </w:rPr>
        <w:t xml:space="preserve"> «Брестская городская больница скорой медицинской помощи»</w:t>
      </w:r>
      <w:r w:rsidR="0008517D">
        <w:rPr>
          <w:rFonts w:ascii="Times New Roman" w:hAnsi="Times New Roman" w:cs="Times New Roman"/>
          <w:sz w:val="30"/>
          <w:szCs w:val="30"/>
        </w:rPr>
        <w:t xml:space="preserve">. Проведена реконструкция </w:t>
      </w:r>
      <w:r w:rsidR="00C80556" w:rsidRPr="00C80556">
        <w:rPr>
          <w:rFonts w:ascii="Times New Roman" w:hAnsi="Times New Roman" w:cs="Times New Roman"/>
          <w:sz w:val="30"/>
          <w:szCs w:val="30"/>
        </w:rPr>
        <w:t>помещений под размещение ангиографической операционной УЗ «Пинская центральная больница»;пищеблока в лечебном корпусе Пинской центральной больницы;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hAnsi="Times New Roman" w:cs="Times New Roman"/>
          <w:sz w:val="30"/>
          <w:szCs w:val="30"/>
        </w:rPr>
        <w:t>здания детского сада в г.Бресте. Хоспис;1-го этажа терапевтического корпуса со строительством пристройки для установки аппарата МРТ в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="00C80556" w:rsidRPr="00C80556">
        <w:rPr>
          <w:rFonts w:ascii="Times New Roman" w:hAnsi="Times New Roman" w:cs="Times New Roman"/>
          <w:sz w:val="30"/>
          <w:szCs w:val="30"/>
        </w:rPr>
        <w:t>УЗ «Брестская областная больница»;части помещений под установку рентгеновского компьютерного томографа УЗ «Брестская детская о</w:t>
      </w:r>
      <w:r w:rsidR="007A2CB3">
        <w:rPr>
          <w:rFonts w:ascii="Times New Roman" w:hAnsi="Times New Roman" w:cs="Times New Roman"/>
          <w:sz w:val="30"/>
          <w:szCs w:val="30"/>
        </w:rPr>
        <w:t>бластная больница» в г. Бресте.</w:t>
      </w:r>
    </w:p>
    <w:p w:rsidR="00C80556" w:rsidRPr="0008517D" w:rsidRDefault="00C80556" w:rsidP="0008517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8517D">
        <w:rPr>
          <w:rFonts w:ascii="Times New Roman" w:hAnsi="Times New Roman" w:cs="Times New Roman"/>
          <w:b/>
          <w:sz w:val="30"/>
          <w:szCs w:val="30"/>
        </w:rPr>
        <w:t>Культура</w:t>
      </w:r>
    </w:p>
    <w:p w:rsidR="00C80556" w:rsidRPr="00C80556" w:rsidRDefault="00C80556" w:rsidP="00085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С целью популяризации традиций национальной культуры на территории Брестской области ежегодно проводятся крупномасштабные фестивали с приглашением к участию зарубежных коллективов, отдельных исполнителей и мастеров народного творчества, а также гостей мероприятий.</w:t>
      </w:r>
      <w:r w:rsidRPr="00C80556">
        <w:rPr>
          <w:rFonts w:ascii="Times New Roman" w:hAnsi="Times New Roman" w:cs="Times New Roman"/>
          <w:sz w:val="30"/>
          <w:szCs w:val="30"/>
          <w:lang w:val="be-BY"/>
        </w:rPr>
        <w:t xml:space="preserve"> Наиболее значимыми </w:t>
      </w:r>
      <w:r w:rsidRPr="00C80556">
        <w:rPr>
          <w:rFonts w:ascii="Times New Roman" w:hAnsi="Times New Roman" w:cs="Times New Roman"/>
          <w:sz w:val="30"/>
          <w:szCs w:val="30"/>
        </w:rPr>
        <w:t>стали следующие культурные форумы: Международный театральный фестиваль «Белая Вежа», Международный фестиваль классической музыки «Январские музыкальные вечера», Международный конкурс юных музыкантов «Палескі</w:t>
      </w:r>
      <w:r w:rsidR="008563DC">
        <w:rPr>
          <w:rFonts w:ascii="Times New Roman" w:hAnsi="Times New Roman" w:cs="Times New Roman"/>
          <w:sz w:val="30"/>
          <w:szCs w:val="30"/>
        </w:rPr>
        <w:t xml:space="preserve"> </w:t>
      </w:r>
      <w:r w:rsidRPr="00C80556">
        <w:rPr>
          <w:rFonts w:ascii="Times New Roman" w:hAnsi="Times New Roman" w:cs="Times New Roman"/>
          <w:sz w:val="30"/>
          <w:szCs w:val="30"/>
        </w:rPr>
        <w:t>агеньчык», Международный пленэр гончаров.</w:t>
      </w:r>
    </w:p>
    <w:p w:rsidR="00C80556" w:rsidRPr="00C80556" w:rsidRDefault="00C80556" w:rsidP="0008517D">
      <w:pPr>
        <w:tabs>
          <w:tab w:val="left" w:pos="709"/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80556">
        <w:rPr>
          <w:rFonts w:ascii="Times New Roman" w:hAnsi="Times New Roman" w:cs="Times New Roman"/>
          <w:sz w:val="30"/>
          <w:szCs w:val="30"/>
        </w:rPr>
        <w:t>Проведение фестивалей способствует развитию международного сотрудничества с целью обмена и обогащения творческим опытом, позволяет разнообразить репертуарную палитру.</w:t>
      </w:r>
    </w:p>
    <w:p w:rsidR="00C80556" w:rsidRPr="00C80556" w:rsidRDefault="00C80556" w:rsidP="0008517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80556">
        <w:rPr>
          <w:rFonts w:ascii="Times New Roman" w:hAnsi="Times New Roman"/>
          <w:sz w:val="30"/>
          <w:szCs w:val="30"/>
        </w:rPr>
        <w:t xml:space="preserve">Лучшие коллективы учреждений культуры области успешно представляли Брестчину на республиканских и международных фестивалях и конкурсах. </w:t>
      </w:r>
    </w:p>
    <w:p w:rsidR="008563DC" w:rsidRDefault="008563DC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8563DC" w:rsidRDefault="008563DC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C80556" w:rsidRPr="00C80556" w:rsidRDefault="0008517D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lastRenderedPageBreak/>
        <w:t>В</w:t>
      </w:r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 xml:space="preserve"> 2019 году завершены работы по объекту «Капитальный ремонт здания археологического музея «Берестье» и его реэкспозиции. За 2017-2019 годы на указанные цели направлено 1 656,9 тыс. рублей средств областного бюджета.</w:t>
      </w:r>
    </w:p>
    <w:p w:rsidR="00C80556" w:rsidRPr="00C80556" w:rsidRDefault="0008517D" w:rsidP="0008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 В</w:t>
      </w:r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>ведено в эксплуатацию здание Брестского театра кукол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-</w:t>
      </w:r>
      <w:r w:rsidR="00C80556" w:rsidRPr="00C80556">
        <w:rPr>
          <w:rFonts w:ascii="Times New Roman" w:hAnsi="Times New Roman" w:cs="Times New Roman"/>
          <w:spacing w:val="-8"/>
          <w:sz w:val="30"/>
          <w:szCs w:val="30"/>
        </w:rPr>
        <w:t xml:space="preserve">самое большое по занимаемой площади среди театров кукол республики. Сценический комплекс оснащен современной звуковой, световой и видеоаппаратурой. </w:t>
      </w:r>
    </w:p>
    <w:p w:rsidR="00C80556" w:rsidRPr="00C80556" w:rsidRDefault="00C80556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</w:rPr>
      </w:pPr>
      <w:r w:rsidRPr="00C80556">
        <w:rPr>
          <w:rFonts w:ascii="Times New Roman" w:hAnsi="Times New Roman" w:cs="Times New Roman"/>
        </w:rPr>
        <w:t>На объекте «</w:t>
      </w:r>
      <w:r w:rsidRPr="00C80556">
        <w:rPr>
          <w:rFonts w:ascii="Times New Roman" w:hAnsi="Times New Roman" w:cs="Times New Roman"/>
          <w:lang w:val="be-BY"/>
        </w:rPr>
        <w:t>Памятник</w:t>
      </w:r>
      <w:r w:rsidRPr="00C80556">
        <w:rPr>
          <w:rFonts w:ascii="Times New Roman" w:hAnsi="Times New Roman" w:cs="Times New Roman"/>
        </w:rPr>
        <w:t xml:space="preserve"> архитектуры </w:t>
      </w:r>
      <w:r w:rsidRPr="00C80556">
        <w:rPr>
          <w:rFonts w:ascii="Times New Roman" w:hAnsi="Times New Roman" w:cs="Times New Roman"/>
          <w:lang w:val="en-US"/>
        </w:rPr>
        <w:t>XIX</w:t>
      </w:r>
      <w:r w:rsidRPr="00C80556">
        <w:rPr>
          <w:rFonts w:ascii="Times New Roman" w:hAnsi="Times New Roman" w:cs="Times New Roman"/>
        </w:rPr>
        <w:t xml:space="preserve"> века. Коссов</w:t>
      </w:r>
      <w:r w:rsidR="0008517D">
        <w:rPr>
          <w:rFonts w:ascii="Times New Roman" w:hAnsi="Times New Roman" w:cs="Times New Roman"/>
        </w:rPr>
        <w:t>ский дворцово-парковый ансамбль</w:t>
      </w:r>
      <w:r w:rsidRPr="00C80556">
        <w:rPr>
          <w:rFonts w:ascii="Times New Roman" w:hAnsi="Times New Roman" w:cs="Times New Roman"/>
        </w:rPr>
        <w:t>» завершены работы по строительству 2-го пускового комплекса, включающего в себя помещения гостиницы и кафе.</w:t>
      </w:r>
    </w:p>
    <w:p w:rsidR="00C80556" w:rsidRPr="00C80556" w:rsidRDefault="00C80556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  <w:snapToGrid w:val="0"/>
          <w:color w:val="000000"/>
        </w:rPr>
      </w:pPr>
      <w:r w:rsidRPr="00C80556">
        <w:rPr>
          <w:rFonts w:ascii="Times New Roman" w:hAnsi="Times New Roman" w:cs="Times New Roman"/>
          <w:bCs/>
          <w:color w:val="000000"/>
        </w:rPr>
        <w:t xml:space="preserve">На объекте </w:t>
      </w:r>
      <w:r w:rsidRPr="00C80556">
        <w:rPr>
          <w:rFonts w:ascii="Times New Roman" w:hAnsi="Times New Roman" w:cs="Times New Roman"/>
        </w:rPr>
        <w:t>«</w:t>
      </w:r>
      <w:r w:rsidRPr="00C80556">
        <w:rPr>
          <w:rFonts w:ascii="Times New Roman" w:hAnsi="Times New Roman" w:cs="Times New Roman"/>
          <w:snapToGrid w:val="0"/>
          <w:color w:val="000000"/>
        </w:rPr>
        <w:t>Д</w:t>
      </w:r>
      <w:r w:rsidR="0008517D">
        <w:rPr>
          <w:rFonts w:ascii="Times New Roman" w:hAnsi="Times New Roman" w:cs="Times New Roman"/>
          <w:snapToGrid w:val="0"/>
          <w:color w:val="000000"/>
        </w:rPr>
        <w:t>ворцовый комплекс в г.п. Ружаны</w:t>
      </w:r>
      <w:r w:rsidRPr="00C80556">
        <w:rPr>
          <w:rFonts w:ascii="Times New Roman" w:hAnsi="Times New Roman" w:cs="Times New Roman"/>
          <w:snapToGrid w:val="0"/>
          <w:color w:val="000000"/>
        </w:rPr>
        <w:t>» проведены работы по реставрации кладки наружных стен.</w:t>
      </w:r>
    </w:p>
    <w:p w:rsidR="00C80556" w:rsidRPr="00C80556" w:rsidRDefault="0008517D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80556">
        <w:rPr>
          <w:rFonts w:ascii="Times New Roman" w:hAnsi="Times New Roman" w:cs="Times New Roman"/>
        </w:rPr>
        <w:t xml:space="preserve">авершены восстановительные работы </w:t>
      </w:r>
      <w:r w:rsidRPr="00C80556">
        <w:rPr>
          <w:rFonts w:ascii="Times New Roman" w:hAnsi="Times New Roman" w:cs="Times New Roman"/>
          <w:lang w:val="be-BY"/>
        </w:rPr>
        <w:t xml:space="preserve">по объекту </w:t>
      </w:r>
      <w:r w:rsidRPr="00C80556">
        <w:rPr>
          <w:rFonts w:ascii="Times New Roman" w:hAnsi="Times New Roman" w:cs="Times New Roman"/>
        </w:rPr>
        <w:t>«Восстановление родового имения Н.Орды в урочище Красный Двор Ивановского района Брестской области»</w:t>
      </w:r>
      <w:r>
        <w:rPr>
          <w:rFonts w:ascii="Times New Roman" w:hAnsi="Times New Roman" w:cs="Times New Roman"/>
        </w:rPr>
        <w:t>.</w:t>
      </w:r>
    </w:p>
    <w:p w:rsidR="00C80556" w:rsidRPr="00C80556" w:rsidRDefault="0008517D" w:rsidP="0008517D">
      <w:pPr>
        <w:pStyle w:val="1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80556" w:rsidRPr="00C80556">
        <w:rPr>
          <w:rFonts w:ascii="Times New Roman" w:hAnsi="Times New Roman" w:cs="Times New Roman"/>
        </w:rPr>
        <w:t>ачаты работы по сохранению знакового объекта наследия «Усадебно-парковый ансамбль в д.Зак</w:t>
      </w:r>
      <w:r>
        <w:rPr>
          <w:rFonts w:ascii="Times New Roman" w:hAnsi="Times New Roman" w:cs="Times New Roman"/>
        </w:rPr>
        <w:t>озель</w:t>
      </w:r>
      <w:r w:rsidR="00856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Дрогичинского района</w:t>
      </w:r>
      <w:r w:rsidR="00C80556" w:rsidRPr="00C80556">
        <w:rPr>
          <w:rFonts w:ascii="Times New Roman" w:hAnsi="Times New Roman" w:cs="Times New Roman"/>
        </w:rPr>
        <w:t xml:space="preserve">». На 2020 год в местном бюджете запланировано 200,0 тыс. рублей для проведения работ по консервации объекта. </w:t>
      </w:r>
    </w:p>
    <w:p w:rsidR="00C80556" w:rsidRPr="00237AE7" w:rsidRDefault="00C80556" w:rsidP="00C8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556" w:rsidRPr="00C80556" w:rsidRDefault="00C80556"/>
    <w:sectPr w:rsidR="00C80556" w:rsidRPr="00C80556" w:rsidSect="004C1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39" w:rsidRDefault="00C21839" w:rsidP="007A2CB3">
      <w:pPr>
        <w:spacing w:after="0" w:line="240" w:lineRule="auto"/>
      </w:pPr>
      <w:r>
        <w:separator/>
      </w:r>
    </w:p>
  </w:endnote>
  <w:endnote w:type="continuationSeparator" w:id="1">
    <w:p w:rsidR="00C21839" w:rsidRDefault="00C21839" w:rsidP="007A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B3" w:rsidRDefault="007A2C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B3" w:rsidRDefault="007A2C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B3" w:rsidRDefault="007A2C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39" w:rsidRDefault="00C21839" w:rsidP="007A2CB3">
      <w:pPr>
        <w:spacing w:after="0" w:line="240" w:lineRule="auto"/>
      </w:pPr>
      <w:r>
        <w:separator/>
      </w:r>
    </w:p>
  </w:footnote>
  <w:footnote w:type="continuationSeparator" w:id="1">
    <w:p w:rsidR="00C21839" w:rsidRDefault="00C21839" w:rsidP="007A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B3" w:rsidRDefault="007A2C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9631"/>
      <w:docPartObj>
        <w:docPartGallery w:val="Page Numbers (Top of Page)"/>
        <w:docPartUnique/>
      </w:docPartObj>
    </w:sdtPr>
    <w:sdtContent>
      <w:p w:rsidR="007A2CB3" w:rsidRDefault="006411CC">
        <w:pPr>
          <w:pStyle w:val="a5"/>
          <w:jc w:val="center"/>
        </w:pPr>
        <w:r>
          <w:fldChar w:fldCharType="begin"/>
        </w:r>
        <w:r w:rsidR="007A2CB3">
          <w:instrText>PAGE   \* MERGEFORMAT</w:instrText>
        </w:r>
        <w:r>
          <w:fldChar w:fldCharType="separate"/>
        </w:r>
        <w:r w:rsidR="008563DC">
          <w:rPr>
            <w:noProof/>
          </w:rPr>
          <w:t>11</w:t>
        </w:r>
        <w:r>
          <w:fldChar w:fldCharType="end"/>
        </w:r>
      </w:p>
    </w:sdtContent>
  </w:sdt>
  <w:p w:rsidR="007A2CB3" w:rsidRDefault="007A2C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B3" w:rsidRDefault="007A2C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75B"/>
    <w:rsid w:val="0008517D"/>
    <w:rsid w:val="002823DC"/>
    <w:rsid w:val="004C1E5B"/>
    <w:rsid w:val="006306CB"/>
    <w:rsid w:val="006411CC"/>
    <w:rsid w:val="007A2CB3"/>
    <w:rsid w:val="008563DC"/>
    <w:rsid w:val="00881AE4"/>
    <w:rsid w:val="00AB12A0"/>
    <w:rsid w:val="00B71078"/>
    <w:rsid w:val="00B94D5A"/>
    <w:rsid w:val="00C21839"/>
    <w:rsid w:val="00C64BBF"/>
    <w:rsid w:val="00C80556"/>
    <w:rsid w:val="00CD3D59"/>
    <w:rsid w:val="00D66113"/>
    <w:rsid w:val="00D74C33"/>
    <w:rsid w:val="00D7608F"/>
    <w:rsid w:val="00E21159"/>
    <w:rsid w:val="00E2211E"/>
    <w:rsid w:val="00EA675B"/>
    <w:rsid w:val="00EC3AC7"/>
    <w:rsid w:val="00F737FA"/>
    <w:rsid w:val="00FB7921"/>
    <w:rsid w:val="00FE578D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8055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C8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C80556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C80556"/>
    <w:pPr>
      <w:widowControl w:val="0"/>
      <w:shd w:val="clear" w:color="auto" w:fill="FFFFFF"/>
      <w:spacing w:after="0" w:line="240" w:lineRule="auto"/>
      <w:jc w:val="both"/>
    </w:pPr>
    <w:rPr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CB3"/>
  </w:style>
  <w:style w:type="paragraph" w:styleId="a7">
    <w:name w:val="footer"/>
    <w:basedOn w:val="a"/>
    <w:link w:val="a8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8055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C8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C80556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C80556"/>
    <w:pPr>
      <w:widowControl w:val="0"/>
      <w:shd w:val="clear" w:color="auto" w:fill="FFFFFF"/>
      <w:spacing w:after="0" w:line="240" w:lineRule="auto"/>
      <w:jc w:val="both"/>
    </w:pPr>
    <w:rPr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CB3"/>
  </w:style>
  <w:style w:type="paragraph" w:styleId="a7">
    <w:name w:val="footer"/>
    <w:basedOn w:val="a"/>
    <w:link w:val="a8"/>
    <w:uiPriority w:val="99"/>
    <w:unhideWhenUsed/>
    <w:rsid w:val="007A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Гагакова</dc:creator>
  <cp:lastModifiedBy>1</cp:lastModifiedBy>
  <cp:revision>7</cp:revision>
  <cp:lastPrinted>2020-05-21T06:02:00Z</cp:lastPrinted>
  <dcterms:created xsi:type="dcterms:W3CDTF">2020-05-20T10:07:00Z</dcterms:created>
  <dcterms:modified xsi:type="dcterms:W3CDTF">2020-05-21T06:14:00Z</dcterms:modified>
</cp:coreProperties>
</file>